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EFF5" w14:textId="77777777" w:rsidR="002A0DE8" w:rsidRPr="005D22E6" w:rsidRDefault="002A0DE8">
      <w:pPr>
        <w:spacing w:line="360" w:lineRule="auto"/>
        <w:jc w:val="center"/>
        <w:rPr>
          <w:sz w:val="24"/>
        </w:rPr>
      </w:pPr>
    </w:p>
    <w:p w14:paraId="59353803" w14:textId="77777777" w:rsidR="002A0DE8" w:rsidRPr="005D22E6" w:rsidRDefault="002A0DE8">
      <w:pPr>
        <w:spacing w:line="360" w:lineRule="auto"/>
        <w:jc w:val="center"/>
        <w:rPr>
          <w:sz w:val="24"/>
        </w:rPr>
      </w:pPr>
    </w:p>
    <w:p w14:paraId="69B2A9CC" w14:textId="77777777" w:rsidR="002A0DE8" w:rsidRPr="005D22E6" w:rsidRDefault="002A0DE8">
      <w:pPr>
        <w:spacing w:line="360" w:lineRule="auto"/>
        <w:jc w:val="center"/>
        <w:rPr>
          <w:sz w:val="24"/>
        </w:rPr>
      </w:pPr>
    </w:p>
    <w:p w14:paraId="0628E7BB" w14:textId="77777777" w:rsidR="002A0DE8" w:rsidRPr="005D22E6" w:rsidRDefault="002A0DE8">
      <w:pPr>
        <w:spacing w:line="360" w:lineRule="auto"/>
        <w:jc w:val="center"/>
        <w:rPr>
          <w:sz w:val="24"/>
        </w:rPr>
      </w:pPr>
    </w:p>
    <w:p w14:paraId="6A4EA4A2" w14:textId="77777777" w:rsidR="002A0DE8" w:rsidRPr="005D22E6" w:rsidRDefault="002A0DE8">
      <w:pPr>
        <w:spacing w:line="360" w:lineRule="auto"/>
        <w:jc w:val="center"/>
        <w:rPr>
          <w:rFonts w:ascii="黑体" w:eastAsia="黑体" w:hAnsi="宋体"/>
          <w:sz w:val="30"/>
          <w:szCs w:val="30"/>
        </w:rPr>
      </w:pPr>
    </w:p>
    <w:p w14:paraId="660EC16D" w14:textId="77777777" w:rsidR="002A0DE8" w:rsidRPr="005D22E6" w:rsidRDefault="003B5264">
      <w:pPr>
        <w:spacing w:line="360" w:lineRule="auto"/>
        <w:jc w:val="center"/>
        <w:rPr>
          <w:rFonts w:eastAsia="黑体"/>
          <w:spacing w:val="20"/>
          <w:sz w:val="44"/>
        </w:rPr>
      </w:pPr>
      <w:r w:rsidRPr="005D22E6">
        <w:rPr>
          <w:rFonts w:eastAsia="黑体" w:hint="eastAsia"/>
          <w:spacing w:val="20"/>
          <w:sz w:val="44"/>
        </w:rPr>
        <w:t>标准制修订编制说明</w:t>
      </w:r>
    </w:p>
    <w:p w14:paraId="5F1F65FC" w14:textId="77777777" w:rsidR="002A0DE8" w:rsidRPr="005D22E6" w:rsidRDefault="002A0DE8">
      <w:pPr>
        <w:spacing w:line="360" w:lineRule="auto"/>
        <w:jc w:val="center"/>
        <w:rPr>
          <w:rFonts w:eastAsia="黑体"/>
          <w:spacing w:val="20"/>
          <w:sz w:val="44"/>
        </w:rPr>
      </w:pPr>
    </w:p>
    <w:p w14:paraId="52986A42" w14:textId="77777777" w:rsidR="002A0DE8" w:rsidRPr="005D22E6" w:rsidRDefault="002A0DE8">
      <w:pPr>
        <w:spacing w:line="360" w:lineRule="auto"/>
        <w:jc w:val="center"/>
        <w:rPr>
          <w:rFonts w:eastAsia="黑体"/>
          <w:spacing w:val="20"/>
          <w:sz w:val="44"/>
        </w:rPr>
      </w:pPr>
    </w:p>
    <w:p w14:paraId="3C314D87" w14:textId="77777777" w:rsidR="002A0DE8" w:rsidRPr="005D22E6" w:rsidRDefault="002A0DE8">
      <w:pPr>
        <w:spacing w:line="360" w:lineRule="auto"/>
        <w:jc w:val="center"/>
        <w:rPr>
          <w:rFonts w:eastAsia="黑体"/>
          <w:spacing w:val="20"/>
          <w:sz w:val="44"/>
        </w:rPr>
      </w:pPr>
    </w:p>
    <w:p w14:paraId="4A780EEE" w14:textId="77777777" w:rsidR="002A0DE8" w:rsidRPr="005D22E6" w:rsidRDefault="002A0DE8">
      <w:pPr>
        <w:spacing w:line="360" w:lineRule="auto"/>
        <w:jc w:val="center"/>
        <w:rPr>
          <w:rFonts w:eastAsia="黑体"/>
          <w:spacing w:val="20"/>
          <w:sz w:val="44"/>
        </w:rPr>
      </w:pPr>
    </w:p>
    <w:p w14:paraId="7AE1A6F6" w14:textId="77777777" w:rsidR="002A0DE8" w:rsidRPr="005D22E6" w:rsidRDefault="002A0DE8">
      <w:pPr>
        <w:spacing w:line="360" w:lineRule="auto"/>
        <w:jc w:val="center"/>
        <w:rPr>
          <w:rFonts w:eastAsia="黑体"/>
          <w:spacing w:val="20"/>
          <w:sz w:val="44"/>
        </w:rPr>
      </w:pPr>
    </w:p>
    <w:p w14:paraId="3DCF17CA" w14:textId="77777777" w:rsidR="002A0DE8" w:rsidRPr="005D22E6" w:rsidRDefault="002A0DE8">
      <w:pPr>
        <w:spacing w:line="360" w:lineRule="auto"/>
        <w:jc w:val="center"/>
        <w:rPr>
          <w:rFonts w:eastAsia="黑体"/>
          <w:spacing w:val="20"/>
          <w:sz w:val="44"/>
        </w:rPr>
      </w:pPr>
    </w:p>
    <w:p w14:paraId="4CD073ED" w14:textId="77777777" w:rsidR="002A0DE8" w:rsidRPr="005D22E6" w:rsidRDefault="002A0DE8">
      <w:pPr>
        <w:spacing w:line="360" w:lineRule="auto"/>
        <w:jc w:val="center"/>
        <w:rPr>
          <w:rFonts w:eastAsia="黑体"/>
          <w:spacing w:val="20"/>
          <w:sz w:val="44"/>
        </w:rPr>
      </w:pPr>
    </w:p>
    <w:p w14:paraId="73FC393D" w14:textId="77777777" w:rsidR="002A0DE8" w:rsidRPr="005D22E6" w:rsidRDefault="003B5264">
      <w:pPr>
        <w:ind w:leftChars="300" w:left="2330" w:rightChars="107" w:right="225" w:hangingChars="500" w:hanging="1700"/>
        <w:rPr>
          <w:rFonts w:ascii="宋体" w:eastAsia="宋体" w:hAnsi="宋体"/>
          <w:b/>
          <w:sz w:val="30"/>
          <w:szCs w:val="30"/>
        </w:rPr>
      </w:pPr>
      <w:r w:rsidRPr="005D22E6">
        <w:rPr>
          <w:rFonts w:ascii="宋体" w:eastAsia="宋体" w:hAnsi="宋体" w:hint="eastAsia"/>
          <w:spacing w:val="20"/>
          <w:sz w:val="30"/>
          <w:szCs w:val="30"/>
        </w:rPr>
        <w:t>文件名称：</w:t>
      </w:r>
      <w:r w:rsidRPr="005D22E6">
        <w:rPr>
          <w:rFonts w:ascii="宋体" w:eastAsia="宋体" w:hAnsi="宋体" w:hint="eastAsia"/>
          <w:sz w:val="30"/>
          <w:szCs w:val="30"/>
        </w:rPr>
        <w:t>《金精矿化学分析方法  第7部分：铁量的测定》</w:t>
      </w:r>
    </w:p>
    <w:p w14:paraId="2E2CD9D0" w14:textId="77777777" w:rsidR="002A0DE8" w:rsidRPr="005D22E6" w:rsidRDefault="003B5264">
      <w:pPr>
        <w:ind w:firstLineChars="200" w:firstLine="680"/>
        <w:rPr>
          <w:rFonts w:ascii="宋体" w:eastAsia="宋体" w:hAnsi="宋体"/>
          <w:spacing w:val="20"/>
          <w:sz w:val="30"/>
          <w:szCs w:val="30"/>
        </w:rPr>
      </w:pPr>
      <w:r w:rsidRPr="005D22E6">
        <w:rPr>
          <w:rFonts w:ascii="宋体" w:eastAsia="宋体" w:hAnsi="宋体" w:hint="eastAsia"/>
          <w:spacing w:val="20"/>
          <w:sz w:val="30"/>
          <w:szCs w:val="30"/>
        </w:rPr>
        <w:t>文件编号：</w:t>
      </w:r>
      <w:r w:rsidRPr="005D22E6">
        <w:rPr>
          <w:rFonts w:ascii="宋体" w:eastAsia="宋体" w:hAnsi="宋体"/>
          <w:spacing w:val="20"/>
          <w:sz w:val="30"/>
          <w:szCs w:val="30"/>
        </w:rPr>
        <w:t xml:space="preserve">GB/T </w:t>
      </w:r>
      <w:r w:rsidRPr="005D22E6">
        <w:rPr>
          <w:rFonts w:ascii="宋体" w:eastAsia="宋体" w:hAnsi="宋体" w:hint="eastAsia"/>
          <w:spacing w:val="20"/>
          <w:sz w:val="30"/>
          <w:szCs w:val="30"/>
        </w:rPr>
        <w:t>773</w:t>
      </w:r>
      <w:r w:rsidRPr="005D22E6">
        <w:rPr>
          <w:rFonts w:ascii="宋体" w:eastAsia="宋体" w:hAnsi="宋体"/>
          <w:spacing w:val="20"/>
          <w:sz w:val="30"/>
          <w:szCs w:val="30"/>
        </w:rPr>
        <w:t>9.</w:t>
      </w:r>
      <w:r w:rsidRPr="005D22E6">
        <w:rPr>
          <w:rFonts w:ascii="宋体" w:eastAsia="宋体" w:hAnsi="宋体" w:hint="eastAsia"/>
          <w:spacing w:val="20"/>
          <w:sz w:val="30"/>
          <w:szCs w:val="30"/>
        </w:rPr>
        <w:t>7</w:t>
      </w:r>
      <w:r w:rsidRPr="005D22E6">
        <w:rPr>
          <w:rFonts w:ascii="宋体" w:eastAsia="宋体" w:hAnsi="宋体"/>
          <w:spacing w:val="20"/>
          <w:sz w:val="30"/>
          <w:szCs w:val="30"/>
        </w:rPr>
        <w:t>—20</w:t>
      </w:r>
      <w:r w:rsidRPr="005D22E6">
        <w:rPr>
          <w:rFonts w:ascii="宋体" w:eastAsia="宋体" w:hAnsi="宋体" w:hint="eastAsia"/>
          <w:spacing w:val="20"/>
          <w:sz w:val="30"/>
          <w:szCs w:val="30"/>
        </w:rPr>
        <w:t>2×</w:t>
      </w:r>
    </w:p>
    <w:p w14:paraId="09ACD5C2" w14:textId="77777777" w:rsidR="002A0DE8" w:rsidRPr="005D22E6" w:rsidRDefault="003B5264">
      <w:pPr>
        <w:spacing w:line="360" w:lineRule="auto"/>
        <w:ind w:firstLineChars="200" w:firstLine="680"/>
        <w:rPr>
          <w:rFonts w:ascii="宋体" w:eastAsia="宋体" w:hAnsi="宋体"/>
          <w:spacing w:val="20"/>
          <w:sz w:val="30"/>
          <w:szCs w:val="30"/>
        </w:rPr>
      </w:pPr>
      <w:r w:rsidRPr="005D22E6">
        <w:rPr>
          <w:rFonts w:ascii="宋体" w:eastAsia="宋体" w:hAnsi="宋体" w:hint="eastAsia"/>
          <w:spacing w:val="20"/>
          <w:sz w:val="30"/>
          <w:szCs w:val="30"/>
        </w:rPr>
        <w:t>文件类别：推荐性国家标准</w:t>
      </w:r>
    </w:p>
    <w:p w14:paraId="46913B1C" w14:textId="77777777" w:rsidR="002A0DE8" w:rsidRPr="005D22E6" w:rsidRDefault="003B5264">
      <w:pPr>
        <w:spacing w:line="360" w:lineRule="auto"/>
        <w:ind w:firstLineChars="200" w:firstLine="680"/>
        <w:rPr>
          <w:rFonts w:ascii="宋体" w:eastAsia="宋体" w:hAnsi="宋体"/>
          <w:spacing w:val="20"/>
          <w:sz w:val="30"/>
          <w:szCs w:val="30"/>
        </w:rPr>
      </w:pPr>
      <w:r w:rsidRPr="005D22E6">
        <w:rPr>
          <w:rFonts w:ascii="宋体" w:eastAsia="宋体" w:hAnsi="宋体" w:hint="eastAsia"/>
          <w:spacing w:val="20"/>
          <w:sz w:val="30"/>
          <w:szCs w:val="30"/>
        </w:rPr>
        <w:t>制定或修订：修订</w:t>
      </w:r>
    </w:p>
    <w:p w14:paraId="4C956D86" w14:textId="77777777" w:rsidR="002A0DE8" w:rsidRPr="005D22E6" w:rsidRDefault="003B5264">
      <w:pPr>
        <w:spacing w:line="360" w:lineRule="auto"/>
        <w:ind w:firstLineChars="200" w:firstLine="680"/>
        <w:rPr>
          <w:rFonts w:ascii="宋体" w:eastAsia="宋体" w:hAnsi="宋体"/>
          <w:spacing w:val="20"/>
          <w:sz w:val="30"/>
          <w:szCs w:val="30"/>
        </w:rPr>
      </w:pPr>
      <w:r w:rsidRPr="005D22E6">
        <w:rPr>
          <w:rFonts w:ascii="宋体" w:eastAsia="宋体" w:hAnsi="宋体" w:hint="eastAsia"/>
          <w:spacing w:val="20"/>
          <w:sz w:val="30"/>
          <w:szCs w:val="30"/>
        </w:rPr>
        <w:t>计划号：</w:t>
      </w:r>
      <w:r w:rsidRPr="005D22E6">
        <w:rPr>
          <w:rFonts w:ascii="宋体" w:eastAsia="宋体" w:hAnsi="宋体"/>
          <w:spacing w:val="20"/>
          <w:sz w:val="30"/>
          <w:szCs w:val="30"/>
        </w:rPr>
        <w:t>2020087</w:t>
      </w:r>
      <w:r w:rsidRPr="005D22E6">
        <w:rPr>
          <w:rFonts w:ascii="宋体" w:eastAsia="宋体" w:hAnsi="宋体" w:hint="eastAsia"/>
          <w:spacing w:val="20"/>
          <w:sz w:val="30"/>
          <w:szCs w:val="30"/>
        </w:rPr>
        <w:t>6</w:t>
      </w:r>
      <w:r w:rsidRPr="005D22E6">
        <w:rPr>
          <w:rFonts w:ascii="宋体" w:eastAsia="宋体" w:hAnsi="宋体"/>
          <w:spacing w:val="20"/>
          <w:sz w:val="30"/>
          <w:szCs w:val="30"/>
        </w:rPr>
        <w:t>-T-469</w:t>
      </w:r>
    </w:p>
    <w:p w14:paraId="1B978B0B" w14:textId="6F22634E" w:rsidR="002A0DE8" w:rsidRPr="005D22E6" w:rsidRDefault="003B5264">
      <w:pPr>
        <w:spacing w:line="360" w:lineRule="auto"/>
        <w:ind w:firstLineChars="200" w:firstLine="680"/>
        <w:rPr>
          <w:rFonts w:ascii="宋体" w:eastAsia="宋体" w:hAnsi="宋体"/>
          <w:spacing w:val="20"/>
          <w:sz w:val="30"/>
          <w:szCs w:val="30"/>
        </w:rPr>
      </w:pPr>
      <w:r w:rsidRPr="005D22E6">
        <w:rPr>
          <w:rFonts w:ascii="宋体" w:eastAsia="宋体" w:hAnsi="宋体" w:hint="eastAsia"/>
          <w:spacing w:val="20"/>
          <w:sz w:val="30"/>
          <w:szCs w:val="30"/>
        </w:rPr>
        <w:t>起止时间：</w:t>
      </w:r>
      <w:r w:rsidRPr="005D22E6">
        <w:rPr>
          <w:rFonts w:ascii="宋体" w:eastAsia="宋体" w:hAnsi="宋体"/>
          <w:spacing w:val="20"/>
          <w:sz w:val="30"/>
          <w:szCs w:val="30"/>
        </w:rPr>
        <w:t>2020</w:t>
      </w:r>
      <w:r w:rsidRPr="005D22E6">
        <w:rPr>
          <w:rFonts w:ascii="宋体" w:eastAsia="宋体" w:hAnsi="宋体" w:hint="eastAsia"/>
          <w:spacing w:val="20"/>
          <w:sz w:val="30"/>
          <w:szCs w:val="30"/>
        </w:rPr>
        <w:t>年3月6日-</w:t>
      </w:r>
      <w:r w:rsidRPr="005D22E6">
        <w:rPr>
          <w:rFonts w:ascii="宋体" w:eastAsia="宋体" w:hAnsi="宋体"/>
          <w:spacing w:val="20"/>
          <w:sz w:val="30"/>
          <w:szCs w:val="30"/>
        </w:rPr>
        <w:t>2021</w:t>
      </w:r>
      <w:r w:rsidRPr="005D22E6">
        <w:rPr>
          <w:rFonts w:ascii="宋体" w:eastAsia="宋体" w:hAnsi="宋体" w:hint="eastAsia"/>
          <w:spacing w:val="20"/>
          <w:sz w:val="30"/>
          <w:szCs w:val="30"/>
        </w:rPr>
        <w:t>年</w:t>
      </w:r>
      <w:r w:rsidR="003F6B96" w:rsidRPr="005D22E6">
        <w:rPr>
          <w:rFonts w:ascii="宋体" w:eastAsia="宋体" w:hAnsi="宋体"/>
          <w:spacing w:val="20"/>
          <w:sz w:val="30"/>
          <w:szCs w:val="30"/>
        </w:rPr>
        <w:t xml:space="preserve">  </w:t>
      </w:r>
      <w:r w:rsidR="003F6B96" w:rsidRPr="005D22E6">
        <w:rPr>
          <w:rFonts w:ascii="宋体" w:eastAsia="宋体" w:hAnsi="宋体" w:hint="eastAsia"/>
          <w:spacing w:val="20"/>
          <w:sz w:val="30"/>
          <w:szCs w:val="30"/>
        </w:rPr>
        <w:t xml:space="preserve">月 </w:t>
      </w:r>
      <w:r w:rsidR="003F6B96" w:rsidRPr="005D22E6">
        <w:rPr>
          <w:rFonts w:ascii="宋体" w:eastAsia="宋体" w:hAnsi="宋体"/>
          <w:spacing w:val="20"/>
          <w:sz w:val="30"/>
          <w:szCs w:val="30"/>
        </w:rPr>
        <w:t xml:space="preserve"> </w:t>
      </w:r>
      <w:r w:rsidR="003F6B96" w:rsidRPr="005D22E6">
        <w:rPr>
          <w:rFonts w:ascii="宋体" w:eastAsia="宋体" w:hAnsi="宋体" w:hint="eastAsia"/>
          <w:spacing w:val="20"/>
          <w:sz w:val="30"/>
          <w:szCs w:val="30"/>
        </w:rPr>
        <w:t>日</w:t>
      </w:r>
    </w:p>
    <w:p w14:paraId="1FBDE4EA" w14:textId="77777777" w:rsidR="002A0DE8" w:rsidRPr="005D22E6" w:rsidRDefault="003B5264">
      <w:pPr>
        <w:spacing w:line="360" w:lineRule="auto"/>
        <w:ind w:firstLineChars="200" w:firstLine="680"/>
        <w:rPr>
          <w:rFonts w:ascii="宋体" w:hAnsi="宋体"/>
          <w:spacing w:val="20"/>
          <w:sz w:val="30"/>
          <w:szCs w:val="30"/>
        </w:rPr>
      </w:pPr>
      <w:r w:rsidRPr="005D22E6">
        <w:rPr>
          <w:rFonts w:ascii="宋体" w:eastAsia="宋体" w:hAnsi="宋体" w:hint="eastAsia"/>
          <w:spacing w:val="20"/>
          <w:sz w:val="30"/>
          <w:szCs w:val="30"/>
        </w:rPr>
        <w:t>牵头起草单位：长春黄金研究院有限公司</w:t>
      </w:r>
    </w:p>
    <w:p w14:paraId="53039629" w14:textId="77777777" w:rsidR="002A0DE8" w:rsidRPr="005D22E6" w:rsidRDefault="002A0DE8">
      <w:pPr>
        <w:jc w:val="center"/>
        <w:rPr>
          <w:rFonts w:ascii="仿宋" w:eastAsia="仿宋" w:hAnsi="仿宋" w:cs="Times New Roman"/>
          <w:b/>
          <w:sz w:val="28"/>
          <w:szCs w:val="28"/>
        </w:rPr>
        <w:sectPr w:rsidR="002A0DE8" w:rsidRPr="005D22E6">
          <w:pgSz w:w="11906" w:h="16838"/>
          <w:pgMar w:top="1440" w:right="1800" w:bottom="1440" w:left="1800" w:header="851" w:footer="992" w:gutter="0"/>
          <w:cols w:space="425"/>
          <w:docGrid w:type="lines" w:linePitch="312"/>
        </w:sectPr>
      </w:pPr>
    </w:p>
    <w:p w14:paraId="4BA482BA" w14:textId="77777777" w:rsidR="002A0DE8" w:rsidRPr="005D22E6" w:rsidRDefault="003B5264" w:rsidP="00F34655">
      <w:pPr>
        <w:spacing w:beforeLines="100" w:before="312" w:afterLines="100" w:after="312" w:line="360" w:lineRule="auto"/>
        <w:outlineLvl w:val="0"/>
        <w:rPr>
          <w:rFonts w:ascii="黑体" w:eastAsia="黑体" w:hAnsi="黑体" w:cs="Times New Roman"/>
          <w:sz w:val="24"/>
          <w:szCs w:val="24"/>
        </w:rPr>
      </w:pPr>
      <w:r w:rsidRPr="005D22E6">
        <w:rPr>
          <w:rFonts w:ascii="黑体" w:eastAsia="黑体" w:hAnsi="黑体" w:cs="Times New Roman" w:hint="eastAsia"/>
          <w:sz w:val="24"/>
          <w:szCs w:val="24"/>
        </w:rPr>
        <w:lastRenderedPageBreak/>
        <w:t>一、工作简况</w:t>
      </w:r>
    </w:p>
    <w:p w14:paraId="0137FFA0" w14:textId="77777777" w:rsidR="002A0DE8" w:rsidRPr="005D22E6" w:rsidRDefault="003B5264" w:rsidP="00F34655">
      <w:pPr>
        <w:spacing w:beforeLines="50" w:before="156" w:afterLines="50" w:after="156" w:line="360" w:lineRule="auto"/>
        <w:outlineLvl w:val="1"/>
        <w:rPr>
          <w:rFonts w:ascii="黑体" w:eastAsia="黑体" w:hAnsi="黑体" w:cs="Times New Roman"/>
          <w:sz w:val="24"/>
          <w:szCs w:val="24"/>
        </w:rPr>
      </w:pPr>
      <w:r w:rsidRPr="005D22E6">
        <w:rPr>
          <w:rFonts w:ascii="黑体" w:eastAsia="黑体" w:hAnsi="黑体" w:cs="Times New Roman"/>
          <w:sz w:val="24"/>
          <w:szCs w:val="24"/>
        </w:rPr>
        <w:t>1</w:t>
      </w:r>
      <w:r w:rsidRPr="005D22E6">
        <w:rPr>
          <w:rFonts w:ascii="黑体" w:eastAsia="黑体" w:hAnsi="黑体" w:cs="Times New Roman" w:hint="eastAsia"/>
          <w:sz w:val="24"/>
          <w:szCs w:val="24"/>
        </w:rPr>
        <w:t xml:space="preserve">.1 </w:t>
      </w:r>
      <w:r w:rsidRPr="005D22E6">
        <w:rPr>
          <w:rFonts w:ascii="黑体" w:eastAsia="黑体" w:hAnsi="黑体" w:cs="Times New Roman"/>
          <w:sz w:val="24"/>
          <w:szCs w:val="24"/>
        </w:rPr>
        <w:t xml:space="preserve"> 任务来源</w:t>
      </w:r>
      <w:r w:rsidRPr="005D22E6">
        <w:rPr>
          <w:rFonts w:ascii="黑体" w:eastAsia="黑体" w:hAnsi="黑体" w:cs="Times New Roman" w:hint="eastAsia"/>
          <w:sz w:val="24"/>
          <w:szCs w:val="24"/>
        </w:rPr>
        <w:t>及分工</w:t>
      </w:r>
    </w:p>
    <w:p w14:paraId="5C565FBC" w14:textId="77777777" w:rsidR="002A0DE8" w:rsidRPr="005D22E6" w:rsidRDefault="003B5264">
      <w:pPr>
        <w:spacing w:line="360" w:lineRule="auto"/>
        <w:ind w:firstLineChars="200" w:firstLine="480"/>
        <w:rPr>
          <w:rFonts w:ascii="宋体" w:eastAsia="宋体" w:hAnsi="宋体" w:cs="宋体"/>
          <w:sz w:val="24"/>
          <w:szCs w:val="24"/>
        </w:rPr>
      </w:pPr>
      <w:r w:rsidRPr="005D22E6">
        <w:rPr>
          <w:rFonts w:ascii="宋体" w:eastAsia="宋体" w:hAnsi="宋体" w:cs="宋体"/>
          <w:sz w:val="24"/>
          <w:szCs w:val="24"/>
        </w:rPr>
        <w:t>2020</w:t>
      </w:r>
      <w:r w:rsidRPr="005D22E6">
        <w:rPr>
          <w:rFonts w:ascii="宋体" w:eastAsia="宋体" w:hAnsi="宋体" w:cs="宋体" w:hint="eastAsia"/>
          <w:sz w:val="24"/>
          <w:szCs w:val="24"/>
        </w:rPr>
        <w:t>年</w:t>
      </w:r>
      <w:r w:rsidRPr="005D22E6">
        <w:rPr>
          <w:rFonts w:ascii="宋体" w:eastAsia="宋体" w:hAnsi="宋体" w:cs="宋体"/>
          <w:sz w:val="24"/>
          <w:szCs w:val="24"/>
        </w:rPr>
        <w:t>3</w:t>
      </w:r>
      <w:r w:rsidRPr="005D22E6">
        <w:rPr>
          <w:rFonts w:ascii="宋体" w:eastAsia="宋体" w:hAnsi="宋体" w:cs="宋体" w:hint="eastAsia"/>
          <w:sz w:val="24"/>
          <w:szCs w:val="24"/>
        </w:rPr>
        <w:t>月</w:t>
      </w:r>
      <w:r w:rsidRPr="005D22E6">
        <w:rPr>
          <w:rFonts w:ascii="宋体" w:eastAsia="宋体" w:hAnsi="宋体" w:cs="宋体"/>
          <w:sz w:val="24"/>
          <w:szCs w:val="24"/>
        </w:rPr>
        <w:t>6</w:t>
      </w:r>
      <w:r w:rsidRPr="005D22E6">
        <w:rPr>
          <w:rFonts w:ascii="宋体" w:eastAsia="宋体" w:hAnsi="宋体" w:cs="宋体" w:hint="eastAsia"/>
          <w:sz w:val="24"/>
          <w:szCs w:val="24"/>
        </w:rPr>
        <w:t xml:space="preserve">日，国家标准化管理委员会公示《关于下达2020年推荐性国家标准计划（修订）的通知》（国标委发〔2020〕6号），立项《金精矿化学分析方法 </w:t>
      </w:r>
      <w:r w:rsidRPr="005D22E6">
        <w:rPr>
          <w:rFonts w:ascii="宋体" w:eastAsia="宋体" w:hAnsi="宋体" w:cs="宋体"/>
          <w:sz w:val="24"/>
          <w:szCs w:val="24"/>
        </w:rPr>
        <w:t xml:space="preserve"> </w:t>
      </w:r>
      <w:r w:rsidRPr="005D22E6">
        <w:rPr>
          <w:rFonts w:ascii="宋体" w:eastAsia="宋体" w:hAnsi="宋体" w:cs="宋体" w:hint="eastAsia"/>
          <w:sz w:val="24"/>
          <w:szCs w:val="24"/>
        </w:rPr>
        <w:t>第7部分：铁量的测定》推荐性国家标准项目，计划号</w:t>
      </w:r>
      <w:r w:rsidRPr="005D22E6">
        <w:rPr>
          <w:rFonts w:ascii="宋体" w:eastAsia="宋体" w:hAnsi="宋体" w:cs="宋体"/>
          <w:sz w:val="24"/>
          <w:szCs w:val="24"/>
        </w:rPr>
        <w:t>2020087</w:t>
      </w:r>
      <w:r w:rsidRPr="005D22E6">
        <w:rPr>
          <w:rFonts w:ascii="宋体" w:eastAsia="宋体" w:hAnsi="宋体" w:cs="宋体" w:hint="eastAsia"/>
          <w:sz w:val="24"/>
          <w:szCs w:val="24"/>
        </w:rPr>
        <w:t>6</w:t>
      </w:r>
      <w:r w:rsidRPr="005D22E6">
        <w:rPr>
          <w:rFonts w:ascii="宋体" w:eastAsia="宋体" w:hAnsi="宋体" w:cs="宋体"/>
          <w:sz w:val="24"/>
          <w:szCs w:val="24"/>
        </w:rPr>
        <w:t>-T-469</w:t>
      </w:r>
      <w:r w:rsidRPr="005D22E6">
        <w:rPr>
          <w:rFonts w:ascii="宋体" w:eastAsia="宋体" w:hAnsi="宋体" w:cs="宋体" w:hint="eastAsia"/>
          <w:sz w:val="24"/>
          <w:szCs w:val="24"/>
        </w:rPr>
        <w:t>，技术归口单位全国黄金标准化技术委员会。</w:t>
      </w:r>
    </w:p>
    <w:p w14:paraId="78A39B7E" w14:textId="77777777" w:rsidR="002A0DE8" w:rsidRPr="005D22E6" w:rsidRDefault="003B5264">
      <w:pPr>
        <w:spacing w:line="360" w:lineRule="auto"/>
        <w:ind w:firstLineChars="200" w:firstLine="480"/>
        <w:rPr>
          <w:rFonts w:ascii="宋体" w:eastAsia="宋体" w:hAnsi="宋体" w:cs="宋体"/>
          <w:sz w:val="24"/>
          <w:szCs w:val="24"/>
        </w:rPr>
      </w:pPr>
      <w:r w:rsidRPr="005D22E6">
        <w:rPr>
          <w:rFonts w:ascii="宋体" w:eastAsia="宋体" w:hAnsi="宋体" w:hint="eastAsia"/>
          <w:sz w:val="24"/>
        </w:rPr>
        <w:t>全国黄金标准化技术委员会组织长春黄金研究院有限公司牵头成立了</w:t>
      </w:r>
      <w:bookmarkStart w:id="0" w:name="_Hlk5111676"/>
      <w:r w:rsidRPr="005D22E6">
        <w:rPr>
          <w:rFonts w:ascii="宋体" w:eastAsia="宋体" w:hAnsi="宋体" w:hint="eastAsia"/>
          <w:sz w:val="24"/>
        </w:rPr>
        <w:t>《</w:t>
      </w:r>
      <w:r w:rsidRPr="005D22E6">
        <w:rPr>
          <w:rFonts w:ascii="宋体" w:eastAsia="宋体" w:hAnsi="宋体" w:cs="宋体" w:hint="eastAsia"/>
          <w:sz w:val="24"/>
          <w:szCs w:val="24"/>
        </w:rPr>
        <w:t xml:space="preserve">金精矿化学分析方法 </w:t>
      </w:r>
      <w:r w:rsidRPr="005D22E6">
        <w:rPr>
          <w:rFonts w:ascii="宋体" w:eastAsia="宋体" w:hAnsi="宋体" w:cs="宋体"/>
          <w:sz w:val="24"/>
          <w:szCs w:val="24"/>
        </w:rPr>
        <w:t xml:space="preserve"> </w:t>
      </w:r>
      <w:r w:rsidRPr="005D22E6">
        <w:rPr>
          <w:rFonts w:ascii="宋体" w:eastAsia="宋体" w:hAnsi="宋体" w:cs="宋体" w:hint="eastAsia"/>
          <w:sz w:val="24"/>
          <w:szCs w:val="24"/>
        </w:rPr>
        <w:t>第7部分：铁量的测定</w:t>
      </w:r>
      <w:r w:rsidRPr="005D22E6">
        <w:rPr>
          <w:rFonts w:ascii="宋体" w:eastAsia="宋体" w:hAnsi="宋体" w:hint="eastAsia"/>
          <w:sz w:val="24"/>
        </w:rPr>
        <w:t>》</w:t>
      </w:r>
      <w:bookmarkEnd w:id="0"/>
      <w:r w:rsidRPr="005D22E6">
        <w:rPr>
          <w:rFonts w:ascii="宋体" w:eastAsia="宋体" w:hAnsi="宋体" w:hint="eastAsia"/>
          <w:sz w:val="24"/>
        </w:rPr>
        <w:t>国家标准项目起草工作组，</w:t>
      </w:r>
      <w:r w:rsidRPr="005D22E6">
        <w:rPr>
          <w:rFonts w:ascii="宋体" w:hAnsi="宋体" w:hint="eastAsia"/>
          <w:sz w:val="24"/>
        </w:rPr>
        <w:t>工作组对项目工作进行计划安排。</w:t>
      </w:r>
      <w:r w:rsidRPr="005D22E6">
        <w:rPr>
          <w:rFonts w:ascii="宋体" w:eastAsia="宋体" w:hAnsi="宋体" w:cs="宋体" w:hint="eastAsia"/>
          <w:sz w:val="24"/>
          <w:szCs w:val="24"/>
        </w:rPr>
        <w:t>起草单位、主要起草人及主要工作见表1：</w:t>
      </w:r>
    </w:p>
    <w:p w14:paraId="3791212B" w14:textId="77777777" w:rsidR="002A0DE8" w:rsidRPr="005D22E6" w:rsidRDefault="003B5264" w:rsidP="00F34655">
      <w:pPr>
        <w:spacing w:beforeLines="50" w:before="156" w:afterLines="50" w:after="156" w:line="360" w:lineRule="auto"/>
        <w:jc w:val="center"/>
        <w:rPr>
          <w:rFonts w:ascii="黑体" w:eastAsia="黑体" w:hAnsi="黑体" w:cs="宋体"/>
          <w:b/>
          <w:sz w:val="24"/>
          <w:szCs w:val="24"/>
        </w:rPr>
      </w:pPr>
      <w:r w:rsidRPr="005D22E6">
        <w:rPr>
          <w:rFonts w:ascii="黑体" w:eastAsia="黑体" w:hAnsi="黑体" w:cs="宋体" w:hint="eastAsia"/>
          <w:b/>
          <w:sz w:val="24"/>
          <w:szCs w:val="24"/>
        </w:rPr>
        <w:t>表1  任务安排</w:t>
      </w:r>
    </w:p>
    <w:tbl>
      <w:tblPr>
        <w:tblStyle w:val="af0"/>
        <w:tblW w:w="8522" w:type="dxa"/>
        <w:jc w:val="center"/>
        <w:tblLayout w:type="fixed"/>
        <w:tblLook w:val="04A0" w:firstRow="1" w:lastRow="0" w:firstColumn="1" w:lastColumn="0" w:noHBand="0" w:noVBand="1"/>
      </w:tblPr>
      <w:tblGrid>
        <w:gridCol w:w="789"/>
        <w:gridCol w:w="3037"/>
        <w:gridCol w:w="2279"/>
        <w:gridCol w:w="2417"/>
      </w:tblGrid>
      <w:tr w:rsidR="002A0DE8" w:rsidRPr="005D22E6" w14:paraId="0660BF32" w14:textId="77777777">
        <w:trPr>
          <w:jc w:val="center"/>
        </w:trPr>
        <w:tc>
          <w:tcPr>
            <w:tcW w:w="789" w:type="dxa"/>
            <w:vAlign w:val="center"/>
          </w:tcPr>
          <w:p w14:paraId="55B233C7" w14:textId="77777777" w:rsidR="002A0DE8" w:rsidRPr="005D22E6" w:rsidRDefault="003B5264">
            <w:pPr>
              <w:jc w:val="center"/>
              <w:rPr>
                <w:rFonts w:ascii="宋体" w:eastAsia="宋体" w:hAnsi="宋体" w:cs="宋体"/>
                <w:szCs w:val="21"/>
              </w:rPr>
            </w:pPr>
            <w:bookmarkStart w:id="1" w:name="_Hlk47251464"/>
            <w:r w:rsidRPr="005D22E6">
              <w:rPr>
                <w:rFonts w:ascii="宋体" w:eastAsia="宋体" w:hAnsi="宋体" w:hint="eastAsia"/>
                <w:szCs w:val="21"/>
              </w:rPr>
              <w:t>项目</w:t>
            </w:r>
          </w:p>
        </w:tc>
        <w:tc>
          <w:tcPr>
            <w:tcW w:w="3037" w:type="dxa"/>
            <w:vAlign w:val="center"/>
          </w:tcPr>
          <w:p w14:paraId="30794C3C" w14:textId="77777777" w:rsidR="002A0DE8" w:rsidRPr="005D22E6" w:rsidRDefault="003B5264">
            <w:pPr>
              <w:jc w:val="center"/>
              <w:rPr>
                <w:rFonts w:ascii="宋体" w:eastAsia="宋体" w:hAnsi="宋体" w:cs="宋体"/>
                <w:szCs w:val="21"/>
              </w:rPr>
            </w:pPr>
            <w:r w:rsidRPr="005D22E6">
              <w:rPr>
                <w:rFonts w:ascii="宋体" w:eastAsia="宋体" w:hAnsi="宋体" w:hint="eastAsia"/>
                <w:szCs w:val="21"/>
              </w:rPr>
              <w:t>单位名称</w:t>
            </w:r>
          </w:p>
        </w:tc>
        <w:tc>
          <w:tcPr>
            <w:tcW w:w="2279" w:type="dxa"/>
            <w:vAlign w:val="center"/>
          </w:tcPr>
          <w:p w14:paraId="386E65B3" w14:textId="77777777" w:rsidR="002A0DE8" w:rsidRPr="005D22E6" w:rsidRDefault="003B5264">
            <w:pPr>
              <w:jc w:val="center"/>
              <w:rPr>
                <w:rFonts w:ascii="宋体" w:eastAsia="宋体" w:hAnsi="宋体"/>
                <w:szCs w:val="21"/>
              </w:rPr>
            </w:pPr>
            <w:r w:rsidRPr="005D22E6">
              <w:rPr>
                <w:rFonts w:ascii="宋体" w:eastAsia="宋体" w:hAnsi="宋体" w:hint="eastAsia"/>
              </w:rPr>
              <w:t>主要起草人</w:t>
            </w:r>
          </w:p>
        </w:tc>
        <w:tc>
          <w:tcPr>
            <w:tcW w:w="2417" w:type="dxa"/>
            <w:vAlign w:val="center"/>
          </w:tcPr>
          <w:p w14:paraId="7E405DF0" w14:textId="77777777" w:rsidR="002A0DE8" w:rsidRPr="005D22E6" w:rsidRDefault="003B5264">
            <w:pPr>
              <w:jc w:val="center"/>
              <w:rPr>
                <w:rFonts w:ascii="宋体" w:eastAsia="宋体" w:hAnsi="宋体" w:cs="宋体"/>
                <w:szCs w:val="21"/>
              </w:rPr>
            </w:pPr>
            <w:r w:rsidRPr="005D22E6">
              <w:rPr>
                <w:rFonts w:ascii="宋体" w:eastAsia="宋体" w:hAnsi="宋体" w:hint="eastAsia"/>
                <w:szCs w:val="21"/>
              </w:rPr>
              <w:t>主要工作</w:t>
            </w:r>
          </w:p>
        </w:tc>
      </w:tr>
      <w:tr w:rsidR="002A0DE8" w:rsidRPr="005D22E6" w14:paraId="7A6C2A72" w14:textId="77777777">
        <w:trPr>
          <w:trHeight w:val="607"/>
          <w:jc w:val="center"/>
        </w:trPr>
        <w:tc>
          <w:tcPr>
            <w:tcW w:w="789" w:type="dxa"/>
            <w:vMerge w:val="restart"/>
            <w:vAlign w:val="center"/>
          </w:tcPr>
          <w:p w14:paraId="48939025" w14:textId="77777777" w:rsidR="002A0DE8" w:rsidRPr="005D22E6" w:rsidRDefault="003B5264">
            <w:pPr>
              <w:rPr>
                <w:rFonts w:ascii="宋体" w:eastAsia="宋体" w:hAnsi="宋体"/>
              </w:rPr>
            </w:pPr>
            <w:r w:rsidRPr="005D22E6">
              <w:rPr>
                <w:rFonts w:ascii="宋体" w:eastAsia="宋体" w:hAnsi="宋体" w:hint="eastAsia"/>
              </w:rPr>
              <w:t>主起草单位</w:t>
            </w:r>
          </w:p>
        </w:tc>
        <w:tc>
          <w:tcPr>
            <w:tcW w:w="3037" w:type="dxa"/>
            <w:vMerge w:val="restart"/>
            <w:vAlign w:val="center"/>
          </w:tcPr>
          <w:p w14:paraId="600DB102" w14:textId="77777777" w:rsidR="002A0DE8" w:rsidRPr="005D22E6" w:rsidRDefault="003B5264">
            <w:pPr>
              <w:ind w:firstLineChars="100" w:firstLine="210"/>
              <w:rPr>
                <w:rFonts w:ascii="宋体" w:eastAsia="宋体" w:hAnsi="宋体"/>
              </w:rPr>
            </w:pPr>
            <w:r w:rsidRPr="005D22E6">
              <w:rPr>
                <w:rFonts w:ascii="宋体" w:eastAsia="宋体" w:hAnsi="宋体" w:hint="eastAsia"/>
              </w:rPr>
              <w:t>长春黄金研究院有限公司</w:t>
            </w:r>
          </w:p>
        </w:tc>
        <w:tc>
          <w:tcPr>
            <w:tcW w:w="2279" w:type="dxa"/>
            <w:vMerge w:val="restart"/>
            <w:vAlign w:val="center"/>
          </w:tcPr>
          <w:p w14:paraId="084C8434" w14:textId="77777777" w:rsidR="002A0DE8" w:rsidRPr="005D22E6" w:rsidRDefault="002A0DE8">
            <w:pPr>
              <w:ind w:firstLineChars="100" w:firstLine="210"/>
              <w:jc w:val="left"/>
              <w:rPr>
                <w:rFonts w:ascii="宋体" w:eastAsia="宋体" w:hAnsi="宋体"/>
              </w:rPr>
            </w:pPr>
          </w:p>
        </w:tc>
        <w:tc>
          <w:tcPr>
            <w:tcW w:w="2417" w:type="dxa"/>
            <w:vAlign w:val="center"/>
          </w:tcPr>
          <w:p w14:paraId="7A7876A2" w14:textId="77777777" w:rsidR="002A0DE8" w:rsidRPr="005D22E6" w:rsidRDefault="003B5264">
            <w:pPr>
              <w:ind w:firstLineChars="100" w:firstLine="210"/>
              <w:rPr>
                <w:rFonts w:ascii="宋体" w:eastAsia="宋体" w:hAnsi="宋体"/>
              </w:rPr>
            </w:pPr>
            <w:r w:rsidRPr="005D22E6">
              <w:rPr>
                <w:rFonts w:ascii="宋体" w:eastAsia="宋体" w:hAnsi="宋体" w:hint="eastAsia"/>
              </w:rPr>
              <w:t>负责标准验证单位的协调、标准方案的审定，与标委会的沟通</w:t>
            </w:r>
          </w:p>
        </w:tc>
      </w:tr>
      <w:tr w:rsidR="002A0DE8" w:rsidRPr="005D22E6" w14:paraId="42E483CD" w14:textId="77777777">
        <w:trPr>
          <w:trHeight w:val="710"/>
          <w:jc w:val="center"/>
        </w:trPr>
        <w:tc>
          <w:tcPr>
            <w:tcW w:w="789" w:type="dxa"/>
            <w:vMerge/>
            <w:vAlign w:val="center"/>
          </w:tcPr>
          <w:p w14:paraId="22A55286" w14:textId="77777777" w:rsidR="002A0DE8" w:rsidRPr="005D22E6" w:rsidRDefault="002A0DE8">
            <w:pPr>
              <w:rPr>
                <w:rFonts w:ascii="宋体" w:eastAsia="宋体" w:hAnsi="宋体"/>
              </w:rPr>
            </w:pPr>
          </w:p>
        </w:tc>
        <w:tc>
          <w:tcPr>
            <w:tcW w:w="3037" w:type="dxa"/>
            <w:vMerge/>
            <w:vAlign w:val="center"/>
          </w:tcPr>
          <w:p w14:paraId="3B5BA2F1" w14:textId="77777777" w:rsidR="002A0DE8" w:rsidRPr="005D22E6" w:rsidRDefault="002A0DE8">
            <w:pPr>
              <w:ind w:firstLineChars="100" w:firstLine="210"/>
              <w:rPr>
                <w:rFonts w:ascii="宋体" w:eastAsia="宋体" w:hAnsi="宋体"/>
              </w:rPr>
            </w:pPr>
          </w:p>
        </w:tc>
        <w:tc>
          <w:tcPr>
            <w:tcW w:w="2279" w:type="dxa"/>
            <w:vMerge/>
            <w:vAlign w:val="center"/>
          </w:tcPr>
          <w:p w14:paraId="4586BD3C" w14:textId="77777777" w:rsidR="002A0DE8" w:rsidRPr="005D22E6" w:rsidRDefault="002A0DE8">
            <w:pPr>
              <w:ind w:firstLineChars="100" w:firstLine="210"/>
              <w:jc w:val="left"/>
              <w:rPr>
                <w:rFonts w:ascii="宋体" w:eastAsia="宋体" w:hAnsi="宋体"/>
              </w:rPr>
            </w:pPr>
          </w:p>
        </w:tc>
        <w:tc>
          <w:tcPr>
            <w:tcW w:w="2417" w:type="dxa"/>
            <w:vAlign w:val="center"/>
          </w:tcPr>
          <w:p w14:paraId="5D167DCA" w14:textId="77777777" w:rsidR="002A0DE8" w:rsidRPr="005D22E6" w:rsidRDefault="003B5264">
            <w:pPr>
              <w:ind w:firstLineChars="100" w:firstLine="210"/>
              <w:rPr>
                <w:rFonts w:ascii="宋体" w:eastAsia="宋体" w:hAnsi="宋体"/>
              </w:rPr>
            </w:pPr>
            <w:r w:rsidRPr="005D22E6">
              <w:rPr>
                <w:rFonts w:ascii="宋体" w:eastAsia="宋体" w:hAnsi="宋体" w:hint="eastAsia"/>
              </w:rPr>
              <w:t>负责试验方案的设计、文本的编写、审核</w:t>
            </w:r>
          </w:p>
        </w:tc>
      </w:tr>
      <w:tr w:rsidR="002A0DE8" w:rsidRPr="005D22E6" w14:paraId="7F24824A" w14:textId="77777777">
        <w:trPr>
          <w:jc w:val="center"/>
        </w:trPr>
        <w:tc>
          <w:tcPr>
            <w:tcW w:w="789" w:type="dxa"/>
            <w:vMerge/>
            <w:vAlign w:val="center"/>
          </w:tcPr>
          <w:p w14:paraId="53A12C02" w14:textId="77777777" w:rsidR="002A0DE8" w:rsidRPr="005D22E6" w:rsidRDefault="002A0DE8">
            <w:pPr>
              <w:rPr>
                <w:rFonts w:ascii="宋体" w:eastAsia="宋体" w:hAnsi="宋体"/>
              </w:rPr>
            </w:pPr>
          </w:p>
        </w:tc>
        <w:tc>
          <w:tcPr>
            <w:tcW w:w="3037" w:type="dxa"/>
            <w:vMerge/>
            <w:vAlign w:val="center"/>
          </w:tcPr>
          <w:p w14:paraId="69222F14" w14:textId="77777777" w:rsidR="002A0DE8" w:rsidRPr="005D22E6" w:rsidRDefault="002A0DE8">
            <w:pPr>
              <w:ind w:firstLineChars="100" w:firstLine="210"/>
              <w:rPr>
                <w:rFonts w:ascii="宋体" w:eastAsia="宋体" w:hAnsi="宋体"/>
              </w:rPr>
            </w:pPr>
          </w:p>
        </w:tc>
        <w:tc>
          <w:tcPr>
            <w:tcW w:w="2279" w:type="dxa"/>
            <w:vMerge/>
            <w:vAlign w:val="center"/>
          </w:tcPr>
          <w:p w14:paraId="5F74F0C0" w14:textId="77777777" w:rsidR="002A0DE8" w:rsidRPr="005D22E6" w:rsidRDefault="002A0DE8">
            <w:pPr>
              <w:ind w:firstLineChars="100" w:firstLine="210"/>
              <w:jc w:val="left"/>
              <w:rPr>
                <w:rFonts w:ascii="宋体" w:eastAsia="宋体" w:hAnsi="宋体"/>
              </w:rPr>
            </w:pPr>
          </w:p>
        </w:tc>
        <w:tc>
          <w:tcPr>
            <w:tcW w:w="2417" w:type="dxa"/>
            <w:vAlign w:val="center"/>
          </w:tcPr>
          <w:p w14:paraId="2444D177" w14:textId="77777777" w:rsidR="002A0DE8" w:rsidRPr="005D22E6" w:rsidRDefault="003B5264">
            <w:pPr>
              <w:ind w:firstLineChars="100" w:firstLine="210"/>
              <w:rPr>
                <w:rFonts w:ascii="宋体" w:eastAsia="宋体" w:hAnsi="宋体"/>
              </w:rPr>
            </w:pPr>
            <w:r w:rsidRPr="005D22E6">
              <w:rPr>
                <w:rFonts w:ascii="宋体" w:eastAsia="宋体" w:hAnsi="宋体" w:hint="eastAsia"/>
              </w:rPr>
              <w:t>负责试验工作、报告编写、数理统计</w:t>
            </w:r>
          </w:p>
        </w:tc>
      </w:tr>
      <w:tr w:rsidR="002A0DE8" w:rsidRPr="005D22E6" w14:paraId="58486255" w14:textId="77777777">
        <w:trPr>
          <w:jc w:val="center"/>
        </w:trPr>
        <w:tc>
          <w:tcPr>
            <w:tcW w:w="789" w:type="dxa"/>
            <w:vAlign w:val="center"/>
          </w:tcPr>
          <w:p w14:paraId="36A75CB3" w14:textId="77777777" w:rsidR="002A0DE8" w:rsidRPr="005D22E6" w:rsidRDefault="003B5264">
            <w:pPr>
              <w:rPr>
                <w:rFonts w:ascii="宋体" w:eastAsia="宋体" w:hAnsi="宋体"/>
              </w:rPr>
            </w:pPr>
            <w:r w:rsidRPr="005D22E6">
              <w:rPr>
                <w:rFonts w:ascii="宋体" w:eastAsia="宋体" w:hAnsi="宋体" w:hint="eastAsia"/>
              </w:rPr>
              <w:t>第一验证单位</w:t>
            </w:r>
          </w:p>
        </w:tc>
        <w:tc>
          <w:tcPr>
            <w:tcW w:w="3037" w:type="dxa"/>
            <w:vAlign w:val="center"/>
          </w:tcPr>
          <w:p w14:paraId="4D9C16C5" w14:textId="77777777" w:rsidR="002A0DE8" w:rsidRPr="005D22E6" w:rsidRDefault="003B5264">
            <w:pPr>
              <w:ind w:firstLineChars="100" w:firstLine="210"/>
              <w:rPr>
                <w:rFonts w:ascii="宋体" w:eastAsia="宋体" w:hAnsi="宋体"/>
              </w:rPr>
            </w:pPr>
            <w:r w:rsidRPr="005D22E6">
              <w:rPr>
                <w:rFonts w:ascii="宋体" w:eastAsia="宋体" w:hAnsi="宋体" w:hint="eastAsia"/>
              </w:rPr>
              <w:t>河南中原黄金冶炼厂有限责任公司研发中心</w:t>
            </w:r>
          </w:p>
        </w:tc>
        <w:tc>
          <w:tcPr>
            <w:tcW w:w="2279" w:type="dxa"/>
            <w:vAlign w:val="center"/>
          </w:tcPr>
          <w:p w14:paraId="782251F0" w14:textId="77777777" w:rsidR="002A0DE8" w:rsidRPr="005D22E6" w:rsidRDefault="002A0DE8">
            <w:pPr>
              <w:ind w:firstLineChars="100" w:firstLine="210"/>
              <w:rPr>
                <w:rFonts w:ascii="宋体" w:eastAsia="宋体" w:hAnsi="宋体"/>
              </w:rPr>
            </w:pPr>
          </w:p>
        </w:tc>
        <w:tc>
          <w:tcPr>
            <w:tcW w:w="2417" w:type="dxa"/>
            <w:vAlign w:val="center"/>
          </w:tcPr>
          <w:p w14:paraId="57AE643D" w14:textId="77777777" w:rsidR="002A0DE8" w:rsidRPr="005D22E6" w:rsidRDefault="003B5264">
            <w:pPr>
              <w:ind w:firstLineChars="100" w:firstLine="210"/>
              <w:rPr>
                <w:rFonts w:ascii="宋体" w:eastAsia="宋体" w:hAnsi="宋体"/>
              </w:rPr>
            </w:pPr>
            <w:r w:rsidRPr="005D22E6">
              <w:rPr>
                <w:rFonts w:ascii="宋体" w:eastAsia="宋体" w:hAnsi="宋体" w:hint="eastAsia"/>
              </w:rPr>
              <w:t>负责标准中方法第一验证工作、一验报告的编写</w:t>
            </w:r>
          </w:p>
        </w:tc>
      </w:tr>
      <w:tr w:rsidR="002A0DE8" w:rsidRPr="005D22E6" w14:paraId="05E342A7" w14:textId="77777777">
        <w:trPr>
          <w:jc w:val="center"/>
        </w:trPr>
        <w:tc>
          <w:tcPr>
            <w:tcW w:w="789" w:type="dxa"/>
            <w:vAlign w:val="center"/>
          </w:tcPr>
          <w:p w14:paraId="6BF13F7A" w14:textId="77777777" w:rsidR="002A0DE8" w:rsidRPr="005D22E6" w:rsidRDefault="003B5264">
            <w:pPr>
              <w:rPr>
                <w:rFonts w:ascii="宋体" w:eastAsia="宋体" w:hAnsi="宋体"/>
              </w:rPr>
            </w:pPr>
            <w:r w:rsidRPr="005D22E6">
              <w:rPr>
                <w:rFonts w:ascii="宋体" w:eastAsia="宋体" w:hAnsi="宋体" w:hint="eastAsia"/>
              </w:rPr>
              <w:t>第二验证单位</w:t>
            </w:r>
          </w:p>
        </w:tc>
        <w:tc>
          <w:tcPr>
            <w:tcW w:w="3037" w:type="dxa"/>
            <w:vAlign w:val="center"/>
          </w:tcPr>
          <w:p w14:paraId="211D1B0A" w14:textId="77777777" w:rsidR="002A0DE8" w:rsidRPr="005D22E6" w:rsidRDefault="003B5264">
            <w:pPr>
              <w:ind w:firstLineChars="100" w:firstLine="210"/>
              <w:rPr>
                <w:rFonts w:ascii="宋体" w:eastAsia="宋体" w:hAnsi="宋体"/>
              </w:rPr>
            </w:pPr>
            <w:r w:rsidRPr="005D22E6">
              <w:rPr>
                <w:rFonts w:ascii="宋体" w:eastAsia="宋体" w:hAnsi="宋体" w:hint="eastAsia"/>
              </w:rPr>
              <w:t>北矿检测技术有限公司、国投金城冶金有限责任公司、长春国检（济源）检测科技有限公司、金翅岭金矿、灵宝黄金集团股份有限公司黄金冶炼分公司、河南中原黄金冶炼厂有限责任公司、紫金矿业集团股份有限公司</w:t>
            </w:r>
          </w:p>
        </w:tc>
        <w:tc>
          <w:tcPr>
            <w:tcW w:w="2279" w:type="dxa"/>
            <w:vAlign w:val="center"/>
          </w:tcPr>
          <w:p w14:paraId="74A321E0" w14:textId="77777777" w:rsidR="002A0DE8" w:rsidRPr="005D22E6" w:rsidRDefault="002A0DE8">
            <w:pPr>
              <w:ind w:firstLineChars="100" w:firstLine="210"/>
              <w:rPr>
                <w:rFonts w:ascii="宋体" w:eastAsia="宋体" w:hAnsi="宋体"/>
              </w:rPr>
            </w:pPr>
          </w:p>
        </w:tc>
        <w:tc>
          <w:tcPr>
            <w:tcW w:w="2417" w:type="dxa"/>
          </w:tcPr>
          <w:p w14:paraId="31578703" w14:textId="77777777" w:rsidR="002A0DE8" w:rsidRPr="005D22E6" w:rsidRDefault="003B5264">
            <w:pPr>
              <w:ind w:firstLineChars="100" w:firstLine="210"/>
              <w:rPr>
                <w:rFonts w:ascii="宋体" w:eastAsia="宋体" w:hAnsi="宋体"/>
              </w:rPr>
            </w:pPr>
            <w:r w:rsidRPr="005D22E6">
              <w:rPr>
                <w:rFonts w:ascii="宋体" w:eastAsia="宋体" w:hAnsi="宋体" w:hint="eastAsia"/>
              </w:rPr>
              <w:t>负责精密度试验的验证工作、提交试验报告及精密度结果</w:t>
            </w:r>
          </w:p>
        </w:tc>
      </w:tr>
    </w:tbl>
    <w:bookmarkEnd w:id="1"/>
    <w:p w14:paraId="7A80BBDC" w14:textId="77777777" w:rsidR="002A0DE8" w:rsidRPr="005D22E6" w:rsidRDefault="003B5264" w:rsidP="00F34655">
      <w:pPr>
        <w:spacing w:beforeLines="100" w:before="312" w:afterLines="50" w:after="156" w:line="360" w:lineRule="auto"/>
        <w:outlineLvl w:val="1"/>
        <w:rPr>
          <w:rFonts w:ascii="黑体" w:eastAsia="黑体" w:hAnsi="黑体" w:cs="Times New Roman"/>
          <w:sz w:val="24"/>
          <w:szCs w:val="24"/>
        </w:rPr>
      </w:pPr>
      <w:r w:rsidRPr="005D22E6">
        <w:rPr>
          <w:rFonts w:ascii="黑体" w:eastAsia="黑体" w:hAnsi="黑体" w:cs="Times New Roman"/>
          <w:sz w:val="24"/>
          <w:szCs w:val="24"/>
        </w:rPr>
        <w:t>1</w:t>
      </w:r>
      <w:r w:rsidRPr="005D22E6">
        <w:rPr>
          <w:rFonts w:ascii="黑体" w:eastAsia="黑体" w:hAnsi="黑体" w:cs="Times New Roman" w:hint="eastAsia"/>
          <w:sz w:val="24"/>
          <w:szCs w:val="24"/>
        </w:rPr>
        <w:t>.</w:t>
      </w:r>
      <w:r w:rsidRPr="005D22E6">
        <w:rPr>
          <w:rFonts w:ascii="黑体" w:eastAsia="黑体" w:hAnsi="黑体" w:cs="Times New Roman"/>
          <w:sz w:val="24"/>
          <w:szCs w:val="24"/>
        </w:rPr>
        <w:t>2</w:t>
      </w:r>
      <w:r w:rsidRPr="005D22E6">
        <w:rPr>
          <w:rFonts w:ascii="黑体" w:eastAsia="黑体" w:hAnsi="黑体" w:cs="Times New Roman" w:hint="eastAsia"/>
          <w:sz w:val="24"/>
          <w:szCs w:val="24"/>
        </w:rPr>
        <w:t xml:space="preserve"> </w:t>
      </w:r>
      <w:r w:rsidRPr="005D22E6">
        <w:rPr>
          <w:rFonts w:ascii="黑体" w:eastAsia="黑体" w:hAnsi="黑体" w:cs="Times New Roman"/>
          <w:sz w:val="24"/>
          <w:szCs w:val="24"/>
        </w:rPr>
        <w:t xml:space="preserve"> </w:t>
      </w:r>
      <w:r w:rsidRPr="005D22E6">
        <w:rPr>
          <w:rFonts w:ascii="黑体" w:eastAsia="黑体" w:hAnsi="黑体" w:cs="Times New Roman" w:hint="eastAsia"/>
          <w:sz w:val="24"/>
          <w:szCs w:val="24"/>
        </w:rPr>
        <w:t>主要工作过程</w:t>
      </w:r>
    </w:p>
    <w:p w14:paraId="37B3D3CB"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1）预阶段（2</w:t>
      </w:r>
      <w:r w:rsidRPr="005D22E6">
        <w:rPr>
          <w:rFonts w:ascii="宋体" w:eastAsia="宋体" w:hAnsi="宋体" w:cs="Times New Roman"/>
          <w:b/>
          <w:sz w:val="24"/>
          <w:szCs w:val="24"/>
        </w:rPr>
        <w:t>020</w:t>
      </w:r>
      <w:r w:rsidRPr="005D22E6">
        <w:rPr>
          <w:rFonts w:ascii="宋体" w:eastAsia="宋体" w:hAnsi="宋体" w:cs="Times New Roman" w:hint="eastAsia"/>
          <w:b/>
          <w:sz w:val="24"/>
          <w:szCs w:val="24"/>
        </w:rPr>
        <w:t>年</w:t>
      </w:r>
      <w:r w:rsidRPr="005D22E6">
        <w:rPr>
          <w:rFonts w:ascii="宋体" w:eastAsia="宋体" w:hAnsi="宋体" w:cs="Times New Roman"/>
          <w:b/>
          <w:sz w:val="24"/>
          <w:szCs w:val="24"/>
        </w:rPr>
        <w:t>3</w:t>
      </w:r>
      <w:r w:rsidRPr="005D22E6">
        <w:rPr>
          <w:rFonts w:ascii="宋体" w:eastAsia="宋体" w:hAnsi="宋体" w:cs="Times New Roman" w:hint="eastAsia"/>
          <w:b/>
          <w:sz w:val="24"/>
          <w:szCs w:val="24"/>
        </w:rPr>
        <w:t>月-20</w:t>
      </w:r>
      <w:r w:rsidRPr="005D22E6">
        <w:rPr>
          <w:rFonts w:ascii="宋体" w:eastAsia="宋体" w:hAnsi="宋体" w:cs="Times New Roman"/>
          <w:b/>
          <w:sz w:val="24"/>
          <w:szCs w:val="24"/>
        </w:rPr>
        <w:t>20</w:t>
      </w:r>
      <w:r w:rsidRPr="005D22E6">
        <w:rPr>
          <w:rFonts w:ascii="宋体" w:eastAsia="宋体" w:hAnsi="宋体" w:cs="Times New Roman" w:hint="eastAsia"/>
          <w:b/>
          <w:sz w:val="24"/>
          <w:szCs w:val="24"/>
        </w:rPr>
        <w:t>年</w:t>
      </w:r>
      <w:r w:rsidRPr="005D22E6">
        <w:rPr>
          <w:rFonts w:ascii="宋体" w:eastAsia="宋体" w:hAnsi="宋体" w:cs="Times New Roman"/>
          <w:b/>
          <w:sz w:val="24"/>
          <w:szCs w:val="24"/>
        </w:rPr>
        <w:t>4</w:t>
      </w:r>
      <w:r w:rsidRPr="005D22E6">
        <w:rPr>
          <w:rFonts w:ascii="宋体" w:eastAsia="宋体" w:hAnsi="宋体" w:cs="Times New Roman" w:hint="eastAsia"/>
          <w:b/>
          <w:sz w:val="24"/>
          <w:szCs w:val="24"/>
        </w:rPr>
        <w:t>月）</w:t>
      </w:r>
    </w:p>
    <w:p w14:paraId="08D0E9BE"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hint="eastAsia"/>
          <w:kern w:val="0"/>
          <w:sz w:val="24"/>
          <w:szCs w:val="24"/>
        </w:rPr>
        <w:t>由</w:t>
      </w:r>
      <w:r w:rsidRPr="005D22E6">
        <w:rPr>
          <w:rFonts w:ascii="宋体" w:eastAsia="宋体" w:hAnsi="宋体" w:hint="eastAsia"/>
          <w:sz w:val="24"/>
        </w:rPr>
        <w:t>全国黄金标准化技术委员会组织</w:t>
      </w:r>
      <w:r w:rsidRPr="005D22E6">
        <w:rPr>
          <w:rFonts w:ascii="宋体" w:eastAsia="宋体" w:hAnsi="宋体" w:cs="Times New Roman" w:hint="eastAsia"/>
          <w:kern w:val="0"/>
          <w:sz w:val="24"/>
          <w:szCs w:val="24"/>
        </w:rPr>
        <w:t>长春黄金研究院有限公司</w:t>
      </w:r>
      <w:r w:rsidRPr="005D22E6">
        <w:rPr>
          <w:rFonts w:ascii="宋体" w:eastAsia="宋体" w:hAnsi="宋体" w:cs="Times New Roman"/>
          <w:kern w:val="0"/>
          <w:sz w:val="24"/>
          <w:szCs w:val="24"/>
        </w:rPr>
        <w:t>成立了</w:t>
      </w:r>
      <w:bookmarkStart w:id="2" w:name="_Hlk19693654"/>
      <w:r w:rsidRPr="005D22E6">
        <w:rPr>
          <w:rFonts w:ascii="宋体" w:eastAsia="宋体" w:hAnsi="宋体" w:cs="Times New Roman"/>
          <w:kern w:val="0"/>
          <w:sz w:val="24"/>
          <w:szCs w:val="24"/>
        </w:rPr>
        <w:t>项目</w:t>
      </w:r>
      <w:r w:rsidRPr="005D22E6">
        <w:rPr>
          <w:rFonts w:ascii="宋体" w:eastAsia="宋体" w:hAnsi="宋体" w:cs="Times New Roman" w:hint="eastAsia"/>
          <w:kern w:val="0"/>
          <w:sz w:val="24"/>
          <w:szCs w:val="24"/>
        </w:rPr>
        <w:t>预</w:t>
      </w:r>
      <w:r w:rsidRPr="005D22E6">
        <w:rPr>
          <w:rFonts w:ascii="宋体" w:eastAsia="宋体" w:hAnsi="宋体" w:cs="Times New Roman" w:hint="eastAsia"/>
          <w:kern w:val="0"/>
          <w:sz w:val="24"/>
          <w:szCs w:val="24"/>
        </w:rPr>
        <w:lastRenderedPageBreak/>
        <w:t>研工作组</w:t>
      </w:r>
      <w:bookmarkEnd w:id="2"/>
      <w:r w:rsidRPr="005D22E6">
        <w:rPr>
          <w:rFonts w:ascii="宋体" w:eastAsia="宋体" w:hAnsi="宋体" w:cs="Times New Roman"/>
          <w:kern w:val="0"/>
          <w:sz w:val="24"/>
          <w:szCs w:val="24"/>
        </w:rPr>
        <w:t>，</w:t>
      </w:r>
      <w:r w:rsidRPr="005D22E6">
        <w:rPr>
          <w:rFonts w:ascii="宋体" w:eastAsia="宋体" w:hAnsi="宋体" w:cs="Times New Roman" w:hint="eastAsia"/>
          <w:kern w:val="0"/>
          <w:sz w:val="24"/>
          <w:szCs w:val="24"/>
        </w:rPr>
        <w:t xml:space="preserve">开展《金精矿化学分析方法 </w:t>
      </w:r>
      <w:r w:rsidRPr="005D22E6">
        <w:rPr>
          <w:rFonts w:ascii="宋体" w:eastAsia="宋体" w:hAnsi="宋体" w:cs="Times New Roman"/>
          <w:kern w:val="0"/>
          <w:sz w:val="24"/>
          <w:szCs w:val="24"/>
        </w:rPr>
        <w:t xml:space="preserve"> 第</w:t>
      </w:r>
      <w:r w:rsidRPr="005D22E6">
        <w:rPr>
          <w:rFonts w:ascii="宋体" w:eastAsia="宋体" w:hAnsi="宋体" w:cs="Times New Roman" w:hint="eastAsia"/>
          <w:kern w:val="0"/>
          <w:sz w:val="24"/>
          <w:szCs w:val="24"/>
        </w:rPr>
        <w:t>7</w:t>
      </w:r>
      <w:r w:rsidRPr="005D22E6">
        <w:rPr>
          <w:rFonts w:ascii="宋体" w:eastAsia="宋体" w:hAnsi="宋体" w:cs="Times New Roman"/>
          <w:kern w:val="0"/>
          <w:sz w:val="24"/>
          <w:szCs w:val="24"/>
        </w:rPr>
        <w:t>部分</w:t>
      </w:r>
      <w:r w:rsidRPr="005D22E6">
        <w:rPr>
          <w:rFonts w:ascii="宋体" w:eastAsia="宋体" w:hAnsi="宋体" w:cs="Times New Roman" w:hint="eastAsia"/>
          <w:kern w:val="0"/>
          <w:sz w:val="24"/>
          <w:szCs w:val="24"/>
        </w:rPr>
        <w:t>：铁</w:t>
      </w:r>
      <w:r w:rsidRPr="005D22E6">
        <w:rPr>
          <w:rFonts w:ascii="宋体" w:eastAsia="宋体" w:hAnsi="宋体" w:cs="Times New Roman"/>
          <w:kern w:val="0"/>
          <w:sz w:val="24"/>
          <w:szCs w:val="24"/>
        </w:rPr>
        <w:t>量的测定</w:t>
      </w:r>
      <w:r w:rsidRPr="005D22E6">
        <w:rPr>
          <w:rFonts w:ascii="宋体" w:eastAsia="宋体" w:hAnsi="宋体" w:cs="Times New Roman" w:hint="eastAsia"/>
          <w:kern w:val="0"/>
          <w:sz w:val="24"/>
          <w:szCs w:val="24"/>
        </w:rPr>
        <w:t>》修订</w:t>
      </w:r>
      <w:r w:rsidRPr="005D22E6">
        <w:rPr>
          <w:rFonts w:ascii="宋体" w:eastAsia="宋体" w:hAnsi="宋体" w:cs="Times New Roman"/>
          <w:kern w:val="0"/>
          <w:sz w:val="24"/>
          <w:szCs w:val="24"/>
        </w:rPr>
        <w:t>项目</w:t>
      </w:r>
      <w:r w:rsidRPr="005D22E6">
        <w:rPr>
          <w:rFonts w:ascii="宋体" w:eastAsia="宋体" w:hAnsi="宋体" w:cs="Times New Roman" w:hint="eastAsia"/>
          <w:kern w:val="0"/>
          <w:sz w:val="24"/>
          <w:szCs w:val="24"/>
        </w:rPr>
        <w:t>预阶段工作，开始着手于相关资料的收集和文献检索，对国内外标准及相关文献进行检索，通过查阅和检索的各类资料表明，目前还没有有关金精矿化学分析方法的国际系列标准。国内标准也已经实施了十余年，需要进行修订。</w:t>
      </w:r>
    </w:p>
    <w:p w14:paraId="51A3CD14" w14:textId="77777777" w:rsidR="002A0DE8" w:rsidRPr="005D22E6" w:rsidRDefault="003B5264">
      <w:pPr>
        <w:spacing w:line="360" w:lineRule="auto"/>
        <w:ind w:firstLineChars="200" w:firstLine="480"/>
        <w:rPr>
          <w:rFonts w:hAnsi="宋体"/>
          <w:kern w:val="0"/>
          <w:sz w:val="24"/>
        </w:rPr>
      </w:pPr>
      <w:r w:rsidRPr="005D22E6">
        <w:rPr>
          <w:rFonts w:ascii="宋体" w:eastAsia="宋体" w:hAnsi="宋体" w:cs="Times New Roman"/>
          <w:kern w:val="0"/>
          <w:sz w:val="24"/>
          <w:szCs w:val="24"/>
        </w:rPr>
        <w:t>通过对所有文献资料的收集整理和借鉴，经</w:t>
      </w:r>
      <w:r w:rsidRPr="005D22E6">
        <w:rPr>
          <w:rFonts w:ascii="宋体" w:eastAsia="宋体" w:hAnsi="宋体" w:cs="Times New Roman"/>
          <w:sz w:val="24"/>
          <w:szCs w:val="24"/>
        </w:rPr>
        <w:t>工作组讨论，初步形成《金精矿化学分析方法</w:t>
      </w:r>
      <w:r w:rsidRPr="005D22E6">
        <w:rPr>
          <w:rFonts w:ascii="宋体" w:eastAsia="宋体" w:hAnsi="宋体" w:cs="Times New Roman" w:hint="eastAsia"/>
          <w:sz w:val="24"/>
          <w:szCs w:val="24"/>
        </w:rPr>
        <w:t xml:space="preserve"> </w:t>
      </w:r>
      <w:r w:rsidRPr="005D22E6">
        <w:rPr>
          <w:rFonts w:ascii="宋体" w:eastAsia="宋体" w:hAnsi="宋体" w:cs="Times New Roman"/>
          <w:sz w:val="24"/>
          <w:szCs w:val="24"/>
        </w:rPr>
        <w:t xml:space="preserve"> </w:t>
      </w:r>
      <w:r w:rsidRPr="005D22E6">
        <w:rPr>
          <w:rFonts w:ascii="宋体" w:eastAsia="宋体" w:hAnsi="宋体" w:cs="Times New Roman"/>
          <w:kern w:val="0"/>
          <w:sz w:val="24"/>
          <w:szCs w:val="24"/>
        </w:rPr>
        <w:t>第</w:t>
      </w:r>
      <w:r w:rsidRPr="005D22E6">
        <w:rPr>
          <w:rFonts w:ascii="宋体" w:eastAsia="宋体" w:hAnsi="宋体" w:cs="Times New Roman" w:hint="eastAsia"/>
          <w:kern w:val="0"/>
          <w:sz w:val="24"/>
          <w:szCs w:val="24"/>
        </w:rPr>
        <w:t>7</w:t>
      </w:r>
      <w:r w:rsidRPr="005D22E6">
        <w:rPr>
          <w:rFonts w:ascii="宋体" w:eastAsia="宋体" w:hAnsi="宋体" w:cs="Times New Roman"/>
          <w:kern w:val="0"/>
          <w:sz w:val="24"/>
          <w:szCs w:val="24"/>
        </w:rPr>
        <w:t>部</w:t>
      </w:r>
      <w:r w:rsidRPr="005D22E6">
        <w:rPr>
          <w:rFonts w:ascii="Times New Roman" w:eastAsia="宋体" w:hAnsi="宋体" w:cs="Times New Roman"/>
          <w:kern w:val="0"/>
          <w:sz w:val="24"/>
          <w:szCs w:val="24"/>
        </w:rPr>
        <w:t>分</w:t>
      </w:r>
      <w:r w:rsidRPr="005D22E6">
        <w:rPr>
          <w:rFonts w:ascii="Times New Roman" w:eastAsia="宋体" w:hAnsi="宋体" w:cs="Times New Roman" w:hint="eastAsia"/>
          <w:kern w:val="0"/>
          <w:sz w:val="24"/>
          <w:szCs w:val="24"/>
        </w:rPr>
        <w:t>：铁</w:t>
      </w:r>
      <w:r w:rsidRPr="005D22E6">
        <w:rPr>
          <w:rFonts w:ascii="Times New Roman" w:eastAsia="宋体" w:hAnsi="宋体" w:cs="Times New Roman"/>
          <w:kern w:val="0"/>
          <w:sz w:val="24"/>
          <w:szCs w:val="24"/>
        </w:rPr>
        <w:t>量的测定</w:t>
      </w:r>
      <w:r w:rsidRPr="005D22E6">
        <w:rPr>
          <w:rFonts w:ascii="Times New Roman" w:eastAsia="宋体" w:hAnsi="宋体" w:cs="Times New Roman"/>
          <w:sz w:val="24"/>
          <w:szCs w:val="24"/>
        </w:rPr>
        <w:t>》</w:t>
      </w:r>
      <w:r w:rsidRPr="005D22E6">
        <w:rPr>
          <w:rFonts w:ascii="Times New Roman" w:eastAsia="宋体" w:hAnsi="宋体" w:cs="Times New Roman" w:hint="eastAsia"/>
          <w:kern w:val="0"/>
          <w:sz w:val="24"/>
          <w:szCs w:val="24"/>
        </w:rPr>
        <w:t>的</w:t>
      </w:r>
      <w:r w:rsidRPr="005D22E6">
        <w:rPr>
          <w:rFonts w:ascii="Times New Roman" w:eastAsia="宋体" w:hAnsi="宋体" w:cs="Times New Roman"/>
          <w:sz w:val="24"/>
          <w:szCs w:val="24"/>
        </w:rPr>
        <w:t>技术标准草案</w:t>
      </w:r>
      <w:r w:rsidRPr="005D22E6">
        <w:rPr>
          <w:rFonts w:ascii="Times New Roman" w:eastAsia="宋体" w:hAnsi="宋体" w:cs="Times New Roman" w:hint="eastAsia"/>
          <w:sz w:val="24"/>
          <w:szCs w:val="24"/>
        </w:rPr>
        <w:t>，同时制定了标准的试验方案。</w:t>
      </w:r>
      <w:r w:rsidRPr="005D22E6">
        <w:rPr>
          <w:rFonts w:hAnsi="宋体" w:hint="eastAsia"/>
          <w:kern w:val="0"/>
          <w:sz w:val="24"/>
        </w:rPr>
        <w:t>根据要求，由</w:t>
      </w:r>
      <w:bookmarkStart w:id="3" w:name="_Hlk19693674"/>
      <w:r w:rsidRPr="005D22E6">
        <w:rPr>
          <w:rFonts w:ascii="Times New Roman" w:eastAsia="宋体" w:hAnsi="宋体" w:cs="Times New Roman" w:hint="eastAsia"/>
          <w:kern w:val="0"/>
          <w:sz w:val="24"/>
          <w:szCs w:val="24"/>
        </w:rPr>
        <w:t>长春黄金研究院有限公司</w:t>
      </w:r>
      <w:bookmarkEnd w:id="3"/>
      <w:r w:rsidRPr="005D22E6">
        <w:rPr>
          <w:rFonts w:hAnsi="宋体" w:hint="eastAsia"/>
          <w:kern w:val="0"/>
          <w:sz w:val="24"/>
        </w:rPr>
        <w:t>依据设计的初步试验方案，提出试验所需的金精矿样品，然后由标准样品制备组进行样品制备。提交的样品制备计划注明：样品的个数、每个样品需要的重量、各个样品中铁的含量范围及样品制备的</w:t>
      </w:r>
      <w:r w:rsidRPr="005D22E6">
        <w:rPr>
          <w:rFonts w:ascii="Times New Roman" w:eastAsia="宋体" w:hAnsi="宋体" w:cs="Times New Roman" w:hint="eastAsia"/>
          <w:sz w:val="24"/>
          <w:szCs w:val="24"/>
        </w:rPr>
        <w:t>完成</w:t>
      </w:r>
      <w:r w:rsidRPr="005D22E6">
        <w:rPr>
          <w:rFonts w:hAnsi="宋体" w:hint="eastAsia"/>
          <w:kern w:val="0"/>
          <w:sz w:val="24"/>
        </w:rPr>
        <w:t>时间等。</w:t>
      </w:r>
    </w:p>
    <w:p w14:paraId="13FF54CE"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2）起草阶段（2</w:t>
      </w:r>
      <w:r w:rsidRPr="005D22E6">
        <w:rPr>
          <w:rFonts w:ascii="宋体" w:eastAsia="宋体" w:hAnsi="宋体" w:cs="Times New Roman"/>
          <w:b/>
          <w:sz w:val="24"/>
          <w:szCs w:val="24"/>
        </w:rPr>
        <w:t>020</w:t>
      </w:r>
      <w:r w:rsidRPr="005D22E6">
        <w:rPr>
          <w:rFonts w:ascii="宋体" w:eastAsia="宋体" w:hAnsi="宋体" w:cs="Times New Roman" w:hint="eastAsia"/>
          <w:b/>
          <w:sz w:val="24"/>
          <w:szCs w:val="24"/>
        </w:rPr>
        <w:t>年4月-</w:t>
      </w:r>
      <w:r w:rsidRPr="005D22E6">
        <w:rPr>
          <w:rFonts w:ascii="宋体" w:eastAsia="宋体" w:hAnsi="宋体" w:cs="Times New Roman"/>
          <w:b/>
          <w:sz w:val="24"/>
          <w:szCs w:val="24"/>
        </w:rPr>
        <w:t>2021</w:t>
      </w:r>
      <w:r w:rsidRPr="005D22E6">
        <w:rPr>
          <w:rFonts w:ascii="宋体" w:eastAsia="宋体" w:hAnsi="宋体" w:cs="Times New Roman" w:hint="eastAsia"/>
          <w:b/>
          <w:sz w:val="24"/>
          <w:szCs w:val="24"/>
        </w:rPr>
        <w:t>年7月）</w:t>
      </w:r>
    </w:p>
    <w:p w14:paraId="456522D3"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kern w:val="0"/>
          <w:sz w:val="24"/>
          <w:szCs w:val="24"/>
        </w:rPr>
        <w:t>工作组</w:t>
      </w:r>
      <w:r w:rsidRPr="005D22E6">
        <w:rPr>
          <w:rFonts w:ascii="宋体" w:eastAsia="宋体" w:hAnsi="宋体" w:cs="Times New Roman" w:hint="eastAsia"/>
          <w:kern w:val="0"/>
          <w:sz w:val="24"/>
          <w:szCs w:val="24"/>
        </w:rPr>
        <w:t>经过调研，</w:t>
      </w:r>
      <w:r w:rsidRPr="005D22E6">
        <w:rPr>
          <w:rFonts w:ascii="宋体" w:eastAsia="宋体" w:hAnsi="宋体" w:cs="Times New Roman"/>
          <w:kern w:val="0"/>
          <w:sz w:val="24"/>
          <w:szCs w:val="24"/>
        </w:rPr>
        <w:t>认真总结和整理</w:t>
      </w:r>
      <w:r w:rsidRPr="005D22E6">
        <w:rPr>
          <w:rFonts w:ascii="宋体" w:eastAsia="宋体" w:hAnsi="宋体" w:cs="Times New Roman" w:hint="eastAsia"/>
          <w:kern w:val="0"/>
          <w:sz w:val="24"/>
          <w:szCs w:val="24"/>
        </w:rPr>
        <w:t>各检测公司以及黄金</w:t>
      </w:r>
      <w:r w:rsidRPr="005D22E6">
        <w:rPr>
          <w:rFonts w:ascii="宋体" w:eastAsia="宋体" w:hAnsi="宋体" w:cs="Times New Roman" w:hint="eastAsia"/>
          <w:sz w:val="24"/>
          <w:szCs w:val="24"/>
        </w:rPr>
        <w:t>生产</w:t>
      </w:r>
      <w:r w:rsidRPr="005D22E6">
        <w:rPr>
          <w:rFonts w:ascii="宋体" w:eastAsia="宋体" w:hAnsi="宋体" w:cs="Times New Roman" w:hint="eastAsia"/>
          <w:kern w:val="0"/>
          <w:sz w:val="24"/>
          <w:szCs w:val="24"/>
        </w:rPr>
        <w:t>单位</w:t>
      </w:r>
      <w:r w:rsidRPr="005D22E6">
        <w:rPr>
          <w:rFonts w:ascii="宋体" w:eastAsia="宋体" w:hAnsi="宋体" w:cs="Times New Roman"/>
          <w:kern w:val="0"/>
          <w:sz w:val="24"/>
          <w:szCs w:val="24"/>
        </w:rPr>
        <w:t>的建议和意见，根据所汇总的建议和意见对现有试验方案在原</w:t>
      </w:r>
      <w:r w:rsidRPr="005D22E6">
        <w:rPr>
          <w:rFonts w:ascii="宋体" w:eastAsia="宋体" w:hAnsi="宋体" w:cs="Times New Roman" w:hint="eastAsia"/>
          <w:kern w:val="0"/>
          <w:sz w:val="24"/>
          <w:szCs w:val="24"/>
        </w:rPr>
        <w:t>有</w:t>
      </w:r>
      <w:r w:rsidRPr="005D22E6">
        <w:rPr>
          <w:rFonts w:ascii="宋体" w:eastAsia="宋体" w:hAnsi="宋体" w:cs="Times New Roman"/>
          <w:kern w:val="0"/>
          <w:sz w:val="24"/>
          <w:szCs w:val="24"/>
        </w:rPr>
        <w:t>的基础上作出了适当的修改、调整及补充，最终形成了一套更为完善的试验方案。</w:t>
      </w:r>
    </w:p>
    <w:p w14:paraId="53F5D723"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宋体" w:eastAsia="宋体" w:hAnsi="宋体" w:cs="Times New Roman" w:hint="eastAsia"/>
          <w:sz w:val="24"/>
          <w:szCs w:val="24"/>
        </w:rPr>
        <w:t>20</w:t>
      </w:r>
      <w:r w:rsidRPr="005D22E6">
        <w:rPr>
          <w:rFonts w:ascii="宋体" w:eastAsia="宋体" w:hAnsi="宋体" w:cs="Times New Roman"/>
          <w:sz w:val="24"/>
          <w:szCs w:val="24"/>
        </w:rPr>
        <w:t>21</w:t>
      </w:r>
      <w:r w:rsidRPr="005D22E6">
        <w:rPr>
          <w:rFonts w:ascii="宋体" w:eastAsia="宋体" w:hAnsi="宋体" w:cs="Times New Roman" w:hint="eastAsia"/>
          <w:sz w:val="24"/>
          <w:szCs w:val="24"/>
        </w:rPr>
        <w:t>年</w:t>
      </w:r>
      <w:r w:rsidRPr="005D22E6">
        <w:rPr>
          <w:rFonts w:ascii="宋体" w:eastAsia="宋体" w:hAnsi="宋体" w:cs="Times New Roman"/>
          <w:sz w:val="24"/>
          <w:szCs w:val="24"/>
        </w:rPr>
        <w:t>6</w:t>
      </w:r>
      <w:r w:rsidRPr="005D22E6">
        <w:rPr>
          <w:rFonts w:ascii="宋体" w:eastAsia="宋体" w:hAnsi="宋体" w:cs="Times New Roman" w:hint="eastAsia"/>
          <w:sz w:val="24"/>
          <w:szCs w:val="24"/>
        </w:rPr>
        <w:t>月，</w:t>
      </w:r>
      <w:r w:rsidRPr="005D22E6">
        <w:rPr>
          <w:rFonts w:ascii="宋体" w:eastAsia="宋体" w:hAnsi="宋体" w:cs="Times New Roman"/>
          <w:sz w:val="24"/>
          <w:szCs w:val="24"/>
        </w:rPr>
        <w:t>工作组</w:t>
      </w:r>
      <w:r w:rsidRPr="005D22E6">
        <w:rPr>
          <w:rFonts w:ascii="Times New Roman" w:eastAsia="宋体" w:hAnsi="宋体" w:cs="Times New Roman"/>
          <w:kern w:val="0"/>
          <w:sz w:val="24"/>
          <w:szCs w:val="24"/>
        </w:rPr>
        <w:t>对前期试验结果进一步整理、反复检查及修改</w:t>
      </w:r>
      <w:r w:rsidRPr="005D22E6">
        <w:rPr>
          <w:rFonts w:ascii="Times New Roman" w:eastAsia="宋体" w:hAnsi="宋体" w:cs="Times New Roman" w:hint="eastAsia"/>
          <w:kern w:val="0"/>
          <w:sz w:val="24"/>
          <w:szCs w:val="24"/>
        </w:rPr>
        <w:t>完成了</w:t>
      </w:r>
      <w:r w:rsidRPr="005D22E6">
        <w:rPr>
          <w:rFonts w:ascii="Times New Roman" w:eastAsia="宋体" w:hAnsi="宋体" w:cs="Times New Roman" w:hint="eastAsia"/>
          <w:sz w:val="24"/>
          <w:szCs w:val="24"/>
        </w:rPr>
        <w:t>项目</w:t>
      </w:r>
      <w:r w:rsidRPr="005D22E6">
        <w:rPr>
          <w:rFonts w:ascii="Times New Roman" w:eastAsia="宋体" w:hAnsi="宋体" w:cs="Times New Roman"/>
          <w:kern w:val="0"/>
          <w:sz w:val="24"/>
          <w:szCs w:val="24"/>
        </w:rPr>
        <w:t>试验报告</w:t>
      </w:r>
      <w:r w:rsidRPr="005D22E6">
        <w:rPr>
          <w:rFonts w:ascii="Times New Roman" w:eastAsia="宋体" w:hAnsi="宋体" w:cs="Times New Roman" w:hint="eastAsia"/>
          <w:sz w:val="24"/>
          <w:szCs w:val="24"/>
        </w:rPr>
        <w:t>，</w:t>
      </w:r>
      <w:bookmarkStart w:id="4" w:name="_Hlk20302855"/>
      <w:r w:rsidRPr="005D22E6">
        <w:rPr>
          <w:rFonts w:ascii="Times New Roman" w:eastAsia="宋体" w:hAnsi="宋体" w:cs="Times New Roman" w:hint="eastAsia"/>
          <w:kern w:val="0"/>
          <w:sz w:val="24"/>
          <w:szCs w:val="24"/>
        </w:rPr>
        <w:t>验证</w:t>
      </w:r>
      <w:r w:rsidRPr="005D22E6">
        <w:rPr>
          <w:rFonts w:ascii="宋体" w:eastAsia="宋体" w:hAnsi="宋体" w:cs="Times New Roman" w:hint="eastAsia"/>
          <w:kern w:val="0"/>
          <w:sz w:val="24"/>
          <w:szCs w:val="24"/>
        </w:rPr>
        <w:t>数据来自8家起草单</w:t>
      </w:r>
      <w:r w:rsidRPr="005D22E6">
        <w:rPr>
          <w:rFonts w:ascii="Times New Roman" w:eastAsia="宋体" w:hAnsi="宋体" w:cs="Times New Roman" w:hint="eastAsia"/>
          <w:kern w:val="0"/>
          <w:sz w:val="24"/>
          <w:szCs w:val="24"/>
        </w:rPr>
        <w:t>位，</w:t>
      </w:r>
      <w:r w:rsidRPr="005D22E6">
        <w:rPr>
          <w:rFonts w:ascii="Times New Roman" w:eastAsia="宋体" w:hAnsi="宋体" w:cs="Times New Roman"/>
          <w:kern w:val="0"/>
          <w:sz w:val="24"/>
          <w:szCs w:val="24"/>
        </w:rPr>
        <w:t>一</w:t>
      </w:r>
      <w:bookmarkEnd w:id="4"/>
      <w:r w:rsidRPr="005D22E6">
        <w:rPr>
          <w:rFonts w:ascii="Times New Roman" w:eastAsia="宋体" w:hAnsi="宋体" w:cs="Times New Roman"/>
          <w:kern w:val="0"/>
          <w:sz w:val="24"/>
          <w:szCs w:val="24"/>
        </w:rPr>
        <w:t>验报告包含了所有的条件试验</w:t>
      </w:r>
      <w:r w:rsidRPr="005D22E6">
        <w:rPr>
          <w:rFonts w:ascii="Times New Roman" w:eastAsia="宋体" w:hAnsi="宋体" w:cs="Times New Roman" w:hint="eastAsia"/>
          <w:kern w:val="0"/>
          <w:sz w:val="24"/>
          <w:szCs w:val="24"/>
        </w:rPr>
        <w:t>、精密度</w:t>
      </w:r>
      <w:r w:rsidRPr="005D22E6">
        <w:rPr>
          <w:rFonts w:ascii="Times New Roman" w:eastAsia="宋体" w:hAnsi="宋体" w:cs="Times New Roman"/>
          <w:kern w:val="0"/>
          <w:sz w:val="24"/>
          <w:szCs w:val="24"/>
        </w:rPr>
        <w:t>试验</w:t>
      </w:r>
      <w:r w:rsidRPr="005D22E6">
        <w:rPr>
          <w:rFonts w:ascii="Times New Roman" w:eastAsia="宋体" w:hAnsi="宋体" w:cs="Times New Roman" w:hint="eastAsia"/>
          <w:kern w:val="0"/>
          <w:sz w:val="24"/>
          <w:szCs w:val="24"/>
        </w:rPr>
        <w:t>和准确度试验</w:t>
      </w:r>
      <w:r w:rsidRPr="005D22E6">
        <w:rPr>
          <w:rFonts w:ascii="Times New Roman" w:eastAsia="宋体" w:hAnsi="宋体" w:cs="Times New Roman"/>
          <w:kern w:val="0"/>
          <w:sz w:val="24"/>
          <w:szCs w:val="24"/>
        </w:rPr>
        <w:t>，二验仅包含</w:t>
      </w:r>
      <w:r w:rsidRPr="005D22E6">
        <w:rPr>
          <w:rFonts w:ascii="Times New Roman" w:eastAsia="宋体" w:hAnsi="宋体" w:cs="Times New Roman" w:hint="eastAsia"/>
          <w:kern w:val="0"/>
          <w:sz w:val="24"/>
          <w:szCs w:val="24"/>
        </w:rPr>
        <w:t>精密度</w:t>
      </w:r>
      <w:r w:rsidRPr="005D22E6">
        <w:rPr>
          <w:rFonts w:ascii="Times New Roman" w:eastAsia="宋体" w:hAnsi="宋体" w:cs="Times New Roman"/>
          <w:kern w:val="0"/>
          <w:sz w:val="24"/>
          <w:szCs w:val="24"/>
        </w:rPr>
        <w:t>试验。</w:t>
      </w:r>
    </w:p>
    <w:p w14:paraId="194B356E"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宋体" w:eastAsia="宋体" w:hAnsi="宋体" w:cs="Times New Roman" w:hint="eastAsia"/>
          <w:sz w:val="24"/>
          <w:szCs w:val="24"/>
        </w:rPr>
        <w:t>20</w:t>
      </w:r>
      <w:r w:rsidRPr="005D22E6">
        <w:rPr>
          <w:rFonts w:ascii="宋体" w:eastAsia="宋体" w:hAnsi="宋体" w:cs="Times New Roman"/>
          <w:sz w:val="24"/>
          <w:szCs w:val="24"/>
        </w:rPr>
        <w:t>21</w:t>
      </w:r>
      <w:r w:rsidRPr="005D22E6">
        <w:rPr>
          <w:rFonts w:ascii="宋体" w:eastAsia="宋体" w:hAnsi="宋体" w:cs="Times New Roman" w:hint="eastAsia"/>
          <w:sz w:val="24"/>
          <w:szCs w:val="24"/>
        </w:rPr>
        <w:t>年</w:t>
      </w:r>
      <w:r w:rsidRPr="005D22E6">
        <w:rPr>
          <w:rFonts w:ascii="宋体" w:eastAsia="宋体" w:hAnsi="宋体" w:cs="Times New Roman"/>
          <w:sz w:val="24"/>
          <w:szCs w:val="24"/>
        </w:rPr>
        <w:t>7</w:t>
      </w:r>
      <w:r w:rsidRPr="005D22E6">
        <w:rPr>
          <w:rFonts w:ascii="宋体" w:eastAsia="宋体" w:hAnsi="宋体" w:cs="Times New Roman" w:hint="eastAsia"/>
          <w:sz w:val="24"/>
          <w:szCs w:val="24"/>
        </w:rPr>
        <w:t>月，</w:t>
      </w:r>
      <w:r w:rsidRPr="005D22E6">
        <w:rPr>
          <w:rFonts w:ascii="宋体" w:eastAsia="宋体" w:hAnsi="宋体" w:cs="Times New Roman"/>
          <w:kern w:val="0"/>
          <w:sz w:val="24"/>
          <w:szCs w:val="24"/>
        </w:rPr>
        <w:t>承担</w:t>
      </w:r>
      <w:r w:rsidRPr="005D22E6">
        <w:rPr>
          <w:rFonts w:ascii="宋体" w:eastAsia="宋体" w:hAnsi="宋体" w:cs="Times New Roman" w:hint="eastAsia"/>
          <w:sz w:val="24"/>
          <w:szCs w:val="24"/>
        </w:rPr>
        <w:t>项目</w:t>
      </w:r>
      <w:r w:rsidRPr="005D22E6">
        <w:rPr>
          <w:rFonts w:ascii="宋体" w:eastAsia="宋体" w:hAnsi="宋体" w:cs="Times New Roman"/>
          <w:kern w:val="0"/>
          <w:sz w:val="24"/>
          <w:szCs w:val="24"/>
        </w:rPr>
        <w:t>验证任务的各</w:t>
      </w:r>
      <w:r w:rsidRPr="005D22E6">
        <w:rPr>
          <w:rFonts w:ascii="宋体" w:eastAsia="宋体" w:hAnsi="宋体" w:cs="Times New Roman" w:hint="eastAsia"/>
          <w:kern w:val="0"/>
          <w:sz w:val="24"/>
          <w:szCs w:val="24"/>
        </w:rPr>
        <w:t>验证</w:t>
      </w:r>
      <w:r w:rsidRPr="005D22E6">
        <w:rPr>
          <w:rFonts w:ascii="宋体" w:eastAsia="宋体" w:hAnsi="宋体" w:cs="Times New Roman"/>
          <w:kern w:val="0"/>
          <w:sz w:val="24"/>
          <w:szCs w:val="24"/>
        </w:rPr>
        <w:t>单位陆续向</w:t>
      </w:r>
      <w:r w:rsidRPr="005D22E6">
        <w:rPr>
          <w:rFonts w:ascii="Times New Roman" w:eastAsia="宋体" w:hAnsi="宋体" w:cs="Times New Roman"/>
          <w:kern w:val="0"/>
          <w:sz w:val="24"/>
          <w:szCs w:val="24"/>
        </w:rPr>
        <w:t>长春黄金研究院</w:t>
      </w:r>
      <w:r w:rsidRPr="005D22E6">
        <w:rPr>
          <w:rFonts w:ascii="Times New Roman" w:eastAsia="宋体" w:hAnsi="宋体" w:cs="Times New Roman" w:hint="eastAsia"/>
          <w:kern w:val="0"/>
          <w:sz w:val="24"/>
          <w:szCs w:val="24"/>
        </w:rPr>
        <w:t>有限公司</w:t>
      </w:r>
      <w:r w:rsidRPr="005D22E6">
        <w:rPr>
          <w:rFonts w:ascii="Times New Roman" w:eastAsia="宋体" w:hAnsi="宋体" w:cs="Times New Roman"/>
          <w:kern w:val="0"/>
          <w:sz w:val="24"/>
          <w:szCs w:val="24"/>
        </w:rPr>
        <w:t>返回了相应的验证数据，通过对所有验证数据的初步核查，数据量及数据结果本身与预期期望基本相符。部分起草单位在提交验证数据时，在数据后面附上在验证过程中发现的新问题、解决办法及其</w:t>
      </w:r>
      <w:r w:rsidRPr="005D22E6">
        <w:rPr>
          <w:rFonts w:ascii="Times New Roman" w:eastAsia="宋体" w:hAnsi="宋体" w:cs="Times New Roman" w:hint="eastAsia"/>
          <w:kern w:val="0"/>
          <w:sz w:val="24"/>
          <w:szCs w:val="24"/>
        </w:rPr>
        <w:t>他</w:t>
      </w:r>
      <w:r w:rsidRPr="005D22E6">
        <w:rPr>
          <w:rFonts w:ascii="Times New Roman" w:eastAsia="宋体" w:hAnsi="宋体" w:cs="Times New Roman"/>
          <w:kern w:val="0"/>
          <w:sz w:val="24"/>
          <w:szCs w:val="24"/>
        </w:rPr>
        <w:t>许多中肯的建议和意见，工作组对此非常重视，立刻组织人员对其进行了整理和讨论。对于各起草单位提出的问题、建议和意见，工作组基本给予采纳。</w:t>
      </w:r>
    </w:p>
    <w:p w14:paraId="754D7D06"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sz w:val="24"/>
          <w:szCs w:val="24"/>
        </w:rPr>
        <w:t>验证数据来自</w:t>
      </w:r>
      <w:r w:rsidRPr="005D22E6">
        <w:rPr>
          <w:rFonts w:ascii="宋体" w:eastAsia="宋体" w:hAnsi="宋体" w:cs="Times New Roman" w:hint="eastAsia"/>
          <w:sz w:val="24"/>
          <w:szCs w:val="24"/>
        </w:rPr>
        <w:t>8</w:t>
      </w:r>
      <w:r w:rsidRPr="005D22E6">
        <w:rPr>
          <w:rFonts w:ascii="宋体" w:eastAsia="宋体" w:hAnsi="宋体" w:cs="Times New Roman"/>
          <w:sz w:val="24"/>
          <w:szCs w:val="24"/>
        </w:rPr>
        <w:t>家起草单位（如前述），</w:t>
      </w:r>
      <w:r w:rsidRPr="005D22E6">
        <w:rPr>
          <w:rFonts w:ascii="宋体" w:eastAsia="宋体" w:hAnsi="宋体" w:cs="Times New Roman" w:hint="eastAsia"/>
          <w:sz w:val="24"/>
          <w:szCs w:val="24"/>
        </w:rPr>
        <w:t>该部分</w:t>
      </w:r>
      <w:r w:rsidRPr="005D22E6">
        <w:rPr>
          <w:rFonts w:ascii="宋体" w:eastAsia="宋体" w:hAnsi="宋体" w:cs="Times New Roman" w:hint="eastAsia"/>
          <w:kern w:val="0"/>
          <w:sz w:val="24"/>
          <w:szCs w:val="24"/>
        </w:rPr>
        <w:t>大致含量范围铁为1</w:t>
      </w:r>
      <w:r w:rsidRPr="005D22E6">
        <w:rPr>
          <w:rFonts w:ascii="宋体" w:eastAsia="宋体" w:hAnsi="宋体" w:cs="Times New Roman"/>
          <w:kern w:val="0"/>
          <w:sz w:val="24"/>
          <w:szCs w:val="24"/>
        </w:rPr>
        <w:t>.00</w:t>
      </w:r>
      <w:r w:rsidRPr="005D22E6">
        <w:rPr>
          <w:rFonts w:ascii="宋体" w:eastAsia="宋体" w:hAnsi="宋体" w:cs="Times New Roman" w:hint="eastAsia"/>
          <w:kern w:val="0"/>
          <w:sz w:val="24"/>
          <w:szCs w:val="24"/>
        </w:rPr>
        <w:t>％～4</w:t>
      </w:r>
      <w:r w:rsidRPr="005D22E6">
        <w:rPr>
          <w:rFonts w:ascii="宋体" w:eastAsia="宋体" w:hAnsi="宋体" w:cs="Times New Roman"/>
          <w:kern w:val="0"/>
          <w:sz w:val="24"/>
          <w:szCs w:val="24"/>
        </w:rPr>
        <w:t>0.00</w:t>
      </w:r>
      <w:r w:rsidRPr="005D22E6">
        <w:rPr>
          <w:rFonts w:ascii="宋体" w:eastAsia="宋体" w:hAnsi="宋体" w:cs="Times New Roman" w:hint="eastAsia"/>
          <w:kern w:val="0"/>
          <w:sz w:val="24"/>
          <w:szCs w:val="24"/>
        </w:rPr>
        <w:t>％。每家起草单位为每个水平提供</w:t>
      </w:r>
      <w:r w:rsidRPr="005D22E6">
        <w:rPr>
          <w:rFonts w:ascii="宋体" w:eastAsia="宋体" w:hAnsi="宋体" w:cs="Times New Roman"/>
          <w:kern w:val="0"/>
          <w:sz w:val="24"/>
          <w:szCs w:val="24"/>
        </w:rPr>
        <w:t>4</w:t>
      </w:r>
      <w:r w:rsidRPr="005D22E6">
        <w:rPr>
          <w:rFonts w:ascii="宋体" w:eastAsia="宋体" w:hAnsi="宋体" w:cs="Times New Roman" w:hint="eastAsia"/>
          <w:kern w:val="0"/>
          <w:sz w:val="24"/>
          <w:szCs w:val="24"/>
        </w:rPr>
        <w:t>个平行测试数据。</w:t>
      </w:r>
    </w:p>
    <w:p w14:paraId="38C234A2" w14:textId="77777777" w:rsidR="002A0DE8" w:rsidRPr="005D22E6" w:rsidRDefault="003B5264">
      <w:pPr>
        <w:spacing w:line="360" w:lineRule="auto"/>
        <w:ind w:firstLineChars="200" w:firstLine="480"/>
        <w:rPr>
          <w:rFonts w:ascii="宋体" w:eastAsia="宋体" w:hAnsi="宋体" w:cs="Times New Roman"/>
          <w:sz w:val="24"/>
          <w:szCs w:val="24"/>
        </w:rPr>
      </w:pPr>
      <w:r w:rsidRPr="005D22E6">
        <w:rPr>
          <w:rFonts w:ascii="宋体" w:eastAsia="宋体" w:hAnsi="宋体" w:cs="Times New Roman"/>
          <w:sz w:val="24"/>
          <w:szCs w:val="24"/>
        </w:rPr>
        <w:t>数据统计结果经数据统计小组反复检验无误后，由工作组统一编写成正式的</w:t>
      </w:r>
      <w:r w:rsidRPr="005D22E6">
        <w:rPr>
          <w:rFonts w:ascii="宋体" w:eastAsia="宋体" w:hAnsi="宋体" w:cs="Times New Roman"/>
          <w:kern w:val="0"/>
          <w:sz w:val="24"/>
          <w:szCs w:val="24"/>
        </w:rPr>
        <w:t>《金精矿化学分析方法</w:t>
      </w:r>
      <w:r w:rsidRPr="005D22E6">
        <w:rPr>
          <w:rFonts w:ascii="宋体" w:eastAsia="宋体" w:hAnsi="宋体" w:cs="Times New Roman" w:hint="eastAsia"/>
          <w:kern w:val="0"/>
          <w:sz w:val="24"/>
          <w:szCs w:val="24"/>
        </w:rPr>
        <w:t xml:space="preserve"> </w:t>
      </w:r>
      <w:r w:rsidRPr="005D22E6">
        <w:rPr>
          <w:rFonts w:ascii="宋体" w:eastAsia="宋体" w:hAnsi="宋体" w:cs="Times New Roman"/>
          <w:kern w:val="0"/>
          <w:sz w:val="24"/>
          <w:szCs w:val="24"/>
        </w:rPr>
        <w:t xml:space="preserve"> 第</w:t>
      </w:r>
      <w:r w:rsidRPr="005D22E6">
        <w:rPr>
          <w:rFonts w:ascii="宋体" w:eastAsia="宋体" w:hAnsi="宋体" w:cs="Times New Roman" w:hint="eastAsia"/>
          <w:kern w:val="0"/>
          <w:sz w:val="24"/>
          <w:szCs w:val="24"/>
        </w:rPr>
        <w:t>7</w:t>
      </w:r>
      <w:r w:rsidRPr="005D22E6">
        <w:rPr>
          <w:rFonts w:ascii="宋体" w:eastAsia="宋体" w:hAnsi="宋体" w:cs="Times New Roman"/>
          <w:kern w:val="0"/>
          <w:sz w:val="24"/>
          <w:szCs w:val="24"/>
        </w:rPr>
        <w:t>部分：</w:t>
      </w:r>
      <w:r w:rsidRPr="005D22E6">
        <w:rPr>
          <w:rFonts w:ascii="宋体" w:eastAsia="宋体" w:hAnsi="宋体" w:cs="Times New Roman" w:hint="eastAsia"/>
          <w:kern w:val="0"/>
          <w:sz w:val="24"/>
          <w:szCs w:val="24"/>
        </w:rPr>
        <w:t>铁</w:t>
      </w:r>
      <w:r w:rsidRPr="005D22E6">
        <w:rPr>
          <w:rFonts w:ascii="宋体" w:eastAsia="宋体" w:hAnsi="宋体" w:cs="Times New Roman"/>
          <w:kern w:val="0"/>
          <w:sz w:val="24"/>
          <w:szCs w:val="24"/>
        </w:rPr>
        <w:t>量的测定》</w:t>
      </w:r>
      <w:r w:rsidRPr="005D22E6">
        <w:rPr>
          <w:rFonts w:ascii="宋体" w:eastAsia="宋体" w:hAnsi="宋体" w:cs="Times New Roman" w:hint="eastAsia"/>
          <w:sz w:val="24"/>
          <w:szCs w:val="24"/>
        </w:rPr>
        <w:t>数据统计报告。</w:t>
      </w:r>
    </w:p>
    <w:p w14:paraId="0D6A0299" w14:textId="16AB2CB6" w:rsidR="002A0DE8" w:rsidRPr="005D22E6" w:rsidRDefault="003B5264">
      <w:pPr>
        <w:spacing w:line="360" w:lineRule="auto"/>
        <w:ind w:firstLineChars="200" w:firstLine="480"/>
        <w:rPr>
          <w:rFonts w:ascii="宋体" w:eastAsia="宋体" w:hAnsi="宋体" w:cs="宋体"/>
          <w:sz w:val="24"/>
          <w:szCs w:val="24"/>
        </w:rPr>
      </w:pPr>
      <w:r w:rsidRPr="005D22E6">
        <w:rPr>
          <w:rFonts w:ascii="宋体" w:eastAsia="宋体" w:hAnsi="宋体" w:cs="宋体"/>
          <w:sz w:val="24"/>
          <w:szCs w:val="24"/>
        </w:rPr>
        <w:t>2021年7月</w:t>
      </w:r>
      <w:r w:rsidRPr="005D22E6">
        <w:rPr>
          <w:rFonts w:ascii="宋体" w:eastAsia="宋体" w:hAnsi="宋体" w:cs="宋体" w:hint="eastAsia"/>
          <w:sz w:val="24"/>
          <w:szCs w:val="24"/>
        </w:rPr>
        <w:t>，</w:t>
      </w:r>
      <w:r w:rsidRPr="005D22E6">
        <w:rPr>
          <w:rFonts w:ascii="宋体" w:eastAsia="宋体" w:hAnsi="宋体" w:cs="宋体"/>
          <w:sz w:val="24"/>
          <w:szCs w:val="24"/>
        </w:rPr>
        <w:t>全国黄金标准化技术委员会在</w:t>
      </w:r>
      <w:r w:rsidRPr="005D22E6">
        <w:rPr>
          <w:rFonts w:ascii="宋体" w:eastAsia="宋体" w:hAnsi="宋体" w:cs="宋体" w:hint="eastAsia"/>
          <w:sz w:val="24"/>
          <w:szCs w:val="24"/>
        </w:rPr>
        <w:t>内蒙古包头</w:t>
      </w:r>
      <w:r w:rsidRPr="005D22E6">
        <w:rPr>
          <w:rFonts w:ascii="宋体" w:eastAsia="宋体" w:hAnsi="宋体" w:cs="宋体"/>
          <w:sz w:val="24"/>
          <w:szCs w:val="24"/>
        </w:rPr>
        <w:t>召开了《</w:t>
      </w:r>
      <w:r w:rsidRPr="005D22E6">
        <w:rPr>
          <w:rFonts w:ascii="宋体" w:eastAsia="宋体" w:hAnsi="宋体" w:cs="宋体" w:hint="eastAsia"/>
          <w:sz w:val="24"/>
          <w:szCs w:val="24"/>
        </w:rPr>
        <w:t xml:space="preserve">金精矿化学分析方法 </w:t>
      </w:r>
      <w:r w:rsidRPr="005D22E6">
        <w:rPr>
          <w:rFonts w:ascii="宋体" w:eastAsia="宋体" w:hAnsi="宋体" w:cs="宋体"/>
          <w:sz w:val="24"/>
          <w:szCs w:val="24"/>
        </w:rPr>
        <w:t xml:space="preserve"> 第</w:t>
      </w:r>
      <w:r w:rsidRPr="005D22E6">
        <w:rPr>
          <w:rFonts w:ascii="宋体" w:eastAsia="宋体" w:hAnsi="宋体" w:cs="宋体" w:hint="eastAsia"/>
          <w:sz w:val="24"/>
          <w:szCs w:val="24"/>
        </w:rPr>
        <w:t>7</w:t>
      </w:r>
      <w:r w:rsidRPr="005D22E6">
        <w:rPr>
          <w:rFonts w:ascii="宋体" w:eastAsia="宋体" w:hAnsi="宋体" w:cs="宋体"/>
          <w:sz w:val="24"/>
          <w:szCs w:val="24"/>
        </w:rPr>
        <w:t>部分：</w:t>
      </w:r>
      <w:r w:rsidRPr="005D22E6">
        <w:rPr>
          <w:rFonts w:ascii="宋体" w:eastAsia="宋体" w:hAnsi="宋体" w:cs="宋体" w:hint="eastAsia"/>
          <w:sz w:val="24"/>
          <w:szCs w:val="24"/>
        </w:rPr>
        <w:t>铁量的测定</w:t>
      </w:r>
      <w:r w:rsidRPr="005D22E6">
        <w:rPr>
          <w:rFonts w:ascii="宋体" w:eastAsia="宋体" w:hAnsi="宋体" w:cs="宋体"/>
          <w:sz w:val="24"/>
          <w:szCs w:val="24"/>
        </w:rPr>
        <w:t>》</w:t>
      </w:r>
      <w:r w:rsidRPr="005D22E6">
        <w:rPr>
          <w:rFonts w:ascii="宋体" w:eastAsia="宋体" w:hAnsi="宋体" w:cs="宋体" w:hint="eastAsia"/>
          <w:sz w:val="24"/>
          <w:szCs w:val="24"/>
        </w:rPr>
        <w:t>国家</w:t>
      </w:r>
      <w:r w:rsidRPr="005D22E6">
        <w:rPr>
          <w:rFonts w:ascii="宋体" w:eastAsia="宋体" w:hAnsi="宋体" w:cs="宋体"/>
          <w:sz w:val="24"/>
          <w:szCs w:val="24"/>
        </w:rPr>
        <w:t>标准</w:t>
      </w:r>
      <w:r w:rsidRPr="005D22E6">
        <w:rPr>
          <w:rFonts w:ascii="宋体" w:eastAsia="宋体" w:hAnsi="宋体" w:cs="宋体" w:hint="eastAsia"/>
          <w:sz w:val="24"/>
          <w:szCs w:val="24"/>
        </w:rPr>
        <w:t>初审</w:t>
      </w:r>
      <w:r w:rsidRPr="005D22E6">
        <w:rPr>
          <w:rFonts w:ascii="宋体" w:eastAsia="宋体" w:hAnsi="宋体" w:cs="宋体"/>
          <w:sz w:val="24"/>
          <w:szCs w:val="24"/>
        </w:rPr>
        <w:t>会</w:t>
      </w:r>
      <w:r w:rsidRPr="005D22E6">
        <w:rPr>
          <w:rFonts w:ascii="宋体" w:eastAsia="宋体" w:hAnsi="宋体" w:cs="宋体" w:hint="eastAsia"/>
          <w:sz w:val="24"/>
          <w:szCs w:val="24"/>
        </w:rPr>
        <w:t>，与会专家审查组听取了</w:t>
      </w:r>
      <w:bookmarkStart w:id="5" w:name="_Hlk19693879"/>
      <w:r w:rsidRPr="005D22E6">
        <w:rPr>
          <w:rFonts w:ascii="宋体" w:eastAsia="宋体" w:hAnsi="宋体" w:cs="宋体" w:hint="eastAsia"/>
          <w:sz w:val="24"/>
          <w:szCs w:val="24"/>
        </w:rPr>
        <w:lastRenderedPageBreak/>
        <w:t>工作组</w:t>
      </w:r>
      <w:bookmarkEnd w:id="5"/>
      <w:r w:rsidRPr="005D22E6">
        <w:rPr>
          <w:rFonts w:ascii="宋体" w:eastAsia="宋体" w:hAnsi="宋体" w:cs="宋体" w:hint="eastAsia"/>
          <w:sz w:val="24"/>
          <w:szCs w:val="24"/>
        </w:rPr>
        <w:t>对标准修订情况的汇报，对该标准初稿制修订原则、适用范围、试验方法、标准文本格式进行了审查，并对标准的结构和技术内容进行了讨论和审议。</w:t>
      </w:r>
    </w:p>
    <w:p w14:paraId="3A73D561" w14:textId="3F1CF4F7" w:rsidR="002A0DE8" w:rsidRPr="005D22E6" w:rsidRDefault="00BC4025" w:rsidP="00BC4025">
      <w:pPr>
        <w:spacing w:line="360" w:lineRule="auto"/>
        <w:ind w:firstLineChars="200" w:firstLine="480"/>
        <w:rPr>
          <w:rFonts w:ascii="宋体" w:eastAsia="宋体" w:hAnsi="宋体" w:cs="宋体"/>
          <w:sz w:val="24"/>
          <w:szCs w:val="24"/>
        </w:rPr>
      </w:pPr>
      <w:r w:rsidRPr="005D22E6">
        <w:rPr>
          <w:rFonts w:ascii="宋体" w:eastAsia="宋体" w:hAnsi="宋体" w:cs="宋体" w:hint="eastAsia"/>
          <w:sz w:val="24"/>
          <w:szCs w:val="24"/>
        </w:rPr>
        <w:t>项目组认真讨论和研究专家提出的意见和建议后，最后依据采纳的意见对初稿进行修改完善，形成标准征求意见稿。</w:t>
      </w:r>
    </w:p>
    <w:p w14:paraId="08CDCBE0" w14:textId="77777777" w:rsidR="002A0DE8" w:rsidRPr="005D22E6" w:rsidRDefault="003B5264" w:rsidP="00F34655">
      <w:pPr>
        <w:spacing w:beforeLines="100" w:before="312" w:afterLines="100" w:after="312" w:line="360" w:lineRule="auto"/>
        <w:outlineLvl w:val="0"/>
        <w:rPr>
          <w:rFonts w:ascii="黑体" w:eastAsia="黑体" w:hAnsi="黑体" w:cs="Times New Roman"/>
          <w:sz w:val="24"/>
          <w:szCs w:val="24"/>
        </w:rPr>
      </w:pPr>
      <w:r w:rsidRPr="005D22E6">
        <w:rPr>
          <w:rFonts w:ascii="黑体" w:eastAsia="黑体" w:hAnsi="黑体" w:cs="Times New Roman" w:hint="eastAsia"/>
          <w:sz w:val="24"/>
          <w:szCs w:val="24"/>
        </w:rPr>
        <w:t>二</w:t>
      </w:r>
      <w:r w:rsidRPr="005D22E6">
        <w:rPr>
          <w:rFonts w:ascii="黑体" w:eastAsia="黑体" w:hAnsi="黑体" w:cs="Times New Roman"/>
          <w:sz w:val="24"/>
          <w:szCs w:val="24"/>
        </w:rPr>
        <w:t>、标准编制</w:t>
      </w:r>
      <w:r w:rsidRPr="005D22E6">
        <w:rPr>
          <w:rFonts w:ascii="黑体" w:eastAsia="黑体" w:hAnsi="黑体" w:cs="Times New Roman" w:hint="eastAsia"/>
          <w:sz w:val="24"/>
          <w:szCs w:val="24"/>
        </w:rPr>
        <w:t>的主要</w:t>
      </w:r>
      <w:r w:rsidRPr="005D22E6">
        <w:rPr>
          <w:rFonts w:ascii="黑体" w:eastAsia="黑体" w:hAnsi="黑体" w:cs="Times New Roman"/>
          <w:sz w:val="24"/>
          <w:szCs w:val="24"/>
        </w:rPr>
        <w:t>原则</w:t>
      </w:r>
      <w:r w:rsidRPr="005D22E6">
        <w:rPr>
          <w:rFonts w:ascii="黑体" w:eastAsia="黑体" w:hAnsi="黑体" w:cs="Times New Roman" w:hint="eastAsia"/>
          <w:sz w:val="24"/>
          <w:szCs w:val="24"/>
        </w:rPr>
        <w:t>和内容</w:t>
      </w:r>
    </w:p>
    <w:p w14:paraId="5A12F77C" w14:textId="77777777" w:rsidR="002A0DE8" w:rsidRPr="005D22E6" w:rsidRDefault="003B5264" w:rsidP="00F34655">
      <w:pPr>
        <w:spacing w:beforeLines="50" w:before="156" w:afterLines="50" w:after="156" w:line="360" w:lineRule="auto"/>
        <w:outlineLvl w:val="1"/>
        <w:rPr>
          <w:rFonts w:ascii="黑体" w:eastAsia="黑体" w:hAnsi="黑体" w:cs="Times New Roman"/>
          <w:sz w:val="24"/>
          <w:szCs w:val="24"/>
        </w:rPr>
      </w:pPr>
      <w:r w:rsidRPr="005D22E6">
        <w:rPr>
          <w:rFonts w:ascii="黑体" w:eastAsia="黑体" w:hAnsi="黑体" w:cs="Times New Roman"/>
          <w:sz w:val="24"/>
          <w:szCs w:val="24"/>
        </w:rPr>
        <w:t>2</w:t>
      </w:r>
      <w:r w:rsidRPr="005D22E6">
        <w:rPr>
          <w:rFonts w:ascii="黑体" w:eastAsia="黑体" w:hAnsi="黑体" w:cs="Times New Roman" w:hint="eastAsia"/>
          <w:sz w:val="24"/>
          <w:szCs w:val="24"/>
        </w:rPr>
        <w:t xml:space="preserve">.1 </w:t>
      </w:r>
      <w:r w:rsidRPr="005D22E6">
        <w:rPr>
          <w:rFonts w:ascii="黑体" w:eastAsia="黑体" w:hAnsi="黑体" w:cs="Times New Roman"/>
          <w:sz w:val="24"/>
          <w:szCs w:val="24"/>
        </w:rPr>
        <w:t xml:space="preserve"> </w:t>
      </w:r>
      <w:r w:rsidRPr="005D22E6">
        <w:rPr>
          <w:rFonts w:ascii="黑体" w:eastAsia="黑体" w:hAnsi="黑体" w:cs="Times New Roman" w:hint="eastAsia"/>
          <w:sz w:val="24"/>
          <w:szCs w:val="24"/>
        </w:rPr>
        <w:t>编制原则</w:t>
      </w:r>
    </w:p>
    <w:p w14:paraId="24AD4935"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kern w:val="0"/>
          <w:sz w:val="24"/>
          <w:szCs w:val="24"/>
        </w:rPr>
        <w:t>按照GB/T 1.1</w:t>
      </w:r>
      <w:r w:rsidRPr="005D22E6">
        <w:rPr>
          <w:rFonts w:ascii="宋体" w:eastAsia="宋体" w:hAnsi="宋体" w:cs="Times New Roman" w:hint="eastAsia"/>
          <w:kern w:val="0"/>
          <w:sz w:val="24"/>
          <w:szCs w:val="24"/>
        </w:rPr>
        <w:t>—</w:t>
      </w:r>
      <w:r w:rsidRPr="005D22E6">
        <w:rPr>
          <w:rFonts w:ascii="宋体" w:eastAsia="宋体" w:hAnsi="宋体" w:cs="Times New Roman"/>
          <w:kern w:val="0"/>
          <w:sz w:val="24"/>
          <w:szCs w:val="24"/>
        </w:rPr>
        <w:t>2020</w:t>
      </w:r>
      <w:r w:rsidRPr="005D22E6">
        <w:rPr>
          <w:rFonts w:ascii="宋体" w:eastAsia="宋体" w:hAnsi="宋体" w:cs="Times New Roman" w:hint="eastAsia"/>
          <w:kern w:val="0"/>
          <w:sz w:val="24"/>
          <w:szCs w:val="24"/>
        </w:rPr>
        <w:t>和GB/T</w:t>
      </w:r>
      <w:r w:rsidRPr="005D22E6">
        <w:rPr>
          <w:rFonts w:ascii="宋体" w:eastAsia="宋体" w:hAnsi="宋体" w:cs="Times New Roman"/>
          <w:kern w:val="0"/>
          <w:sz w:val="24"/>
          <w:szCs w:val="24"/>
        </w:rPr>
        <w:t xml:space="preserve"> 20001</w:t>
      </w:r>
      <w:r w:rsidRPr="005D22E6">
        <w:rPr>
          <w:rFonts w:ascii="宋体" w:eastAsia="宋体" w:hAnsi="宋体" w:cs="Times New Roman" w:hint="eastAsia"/>
          <w:kern w:val="0"/>
          <w:sz w:val="24"/>
          <w:szCs w:val="24"/>
        </w:rPr>
        <w:t>.</w:t>
      </w:r>
      <w:r w:rsidRPr="005D22E6">
        <w:rPr>
          <w:rFonts w:ascii="宋体" w:eastAsia="宋体" w:hAnsi="宋体" w:cs="Times New Roman"/>
          <w:kern w:val="0"/>
          <w:sz w:val="24"/>
          <w:szCs w:val="24"/>
        </w:rPr>
        <w:t>4</w:t>
      </w:r>
      <w:r w:rsidRPr="005D22E6">
        <w:rPr>
          <w:rFonts w:ascii="宋体" w:eastAsia="宋体" w:hAnsi="宋体" w:cs="Times New Roman" w:hint="eastAsia"/>
          <w:kern w:val="0"/>
          <w:sz w:val="24"/>
          <w:szCs w:val="24"/>
        </w:rPr>
        <w:t>—2</w:t>
      </w:r>
      <w:r w:rsidRPr="005D22E6">
        <w:rPr>
          <w:rFonts w:ascii="宋体" w:eastAsia="宋体" w:hAnsi="宋体" w:cs="Times New Roman"/>
          <w:kern w:val="0"/>
          <w:sz w:val="24"/>
          <w:szCs w:val="24"/>
        </w:rPr>
        <w:t>015</w:t>
      </w:r>
      <w:r w:rsidRPr="005D22E6">
        <w:rPr>
          <w:rFonts w:ascii="宋体" w:eastAsia="宋体" w:hAnsi="宋体" w:cs="Times New Roman" w:hint="eastAsia"/>
          <w:kern w:val="0"/>
          <w:sz w:val="24"/>
          <w:szCs w:val="24"/>
        </w:rPr>
        <w:t>的</w:t>
      </w:r>
      <w:r w:rsidRPr="005D22E6">
        <w:rPr>
          <w:rFonts w:ascii="宋体" w:eastAsia="宋体" w:hAnsi="宋体" w:cs="Times New Roman"/>
          <w:kern w:val="0"/>
          <w:sz w:val="24"/>
          <w:szCs w:val="24"/>
        </w:rPr>
        <w:t>规定</w:t>
      </w:r>
      <w:r w:rsidRPr="005D22E6">
        <w:rPr>
          <w:rFonts w:ascii="宋体" w:eastAsia="宋体" w:hAnsi="宋体" w:cs="Times New Roman" w:hint="eastAsia"/>
          <w:kern w:val="0"/>
          <w:sz w:val="24"/>
          <w:szCs w:val="24"/>
        </w:rPr>
        <w:t>开展</w:t>
      </w:r>
      <w:r w:rsidRPr="005D22E6">
        <w:rPr>
          <w:rFonts w:ascii="宋体" w:eastAsia="宋体" w:hAnsi="宋体" w:cs="Times New Roman"/>
          <w:kern w:val="0"/>
          <w:sz w:val="24"/>
          <w:szCs w:val="24"/>
        </w:rPr>
        <w:t>本标准的</w:t>
      </w:r>
      <w:r w:rsidRPr="005D22E6">
        <w:rPr>
          <w:rFonts w:ascii="宋体" w:eastAsia="宋体" w:hAnsi="宋体" w:cs="Times New Roman" w:hint="eastAsia"/>
          <w:kern w:val="0"/>
          <w:sz w:val="24"/>
          <w:szCs w:val="24"/>
        </w:rPr>
        <w:t>修</w:t>
      </w:r>
      <w:r w:rsidRPr="005D22E6">
        <w:rPr>
          <w:rFonts w:ascii="宋体" w:eastAsia="宋体" w:hAnsi="宋体" w:cs="Times New Roman"/>
          <w:kern w:val="0"/>
          <w:sz w:val="24"/>
          <w:szCs w:val="24"/>
        </w:rPr>
        <w:t>订工作。</w:t>
      </w:r>
    </w:p>
    <w:p w14:paraId="26DE4515" w14:textId="77777777" w:rsidR="002A0DE8" w:rsidRPr="005D22E6" w:rsidRDefault="003B5264">
      <w:pPr>
        <w:spacing w:line="360" w:lineRule="auto"/>
        <w:ind w:firstLineChars="200" w:firstLine="480"/>
        <w:rPr>
          <w:rFonts w:ascii="宋体" w:eastAsia="宋体" w:hAnsi="宋体" w:cs="Times New Roman"/>
          <w:sz w:val="24"/>
          <w:szCs w:val="24"/>
        </w:rPr>
      </w:pPr>
      <w:r w:rsidRPr="005D22E6">
        <w:rPr>
          <w:rFonts w:ascii="宋体" w:eastAsia="宋体" w:hAnsi="宋体" w:cs="Times New Roman"/>
          <w:sz w:val="24"/>
          <w:szCs w:val="24"/>
        </w:rPr>
        <w:t>本标准</w:t>
      </w:r>
      <w:r w:rsidRPr="005D22E6">
        <w:rPr>
          <w:rFonts w:ascii="宋体" w:eastAsia="宋体" w:hAnsi="宋体" w:cs="Times New Roman" w:hint="eastAsia"/>
          <w:sz w:val="24"/>
          <w:szCs w:val="24"/>
        </w:rPr>
        <w:t>修订</w:t>
      </w:r>
      <w:r w:rsidRPr="005D22E6">
        <w:rPr>
          <w:rFonts w:ascii="宋体" w:eastAsia="宋体" w:hAnsi="宋体" w:cs="Times New Roman"/>
          <w:sz w:val="24"/>
          <w:szCs w:val="24"/>
        </w:rPr>
        <w:t>过程遵循的基本原则：</w:t>
      </w:r>
    </w:p>
    <w:p w14:paraId="380CED67" w14:textId="77777777" w:rsidR="002A0DE8" w:rsidRPr="005D22E6" w:rsidRDefault="003B5264">
      <w:pPr>
        <w:spacing w:line="360" w:lineRule="auto"/>
        <w:ind w:firstLineChars="200" w:firstLine="480"/>
        <w:jc w:val="left"/>
        <w:rPr>
          <w:rFonts w:ascii="宋体" w:eastAsia="宋体" w:hAnsi="宋体" w:cs="Times New Roman"/>
          <w:sz w:val="24"/>
          <w:szCs w:val="24"/>
        </w:rPr>
      </w:pPr>
      <w:r w:rsidRPr="005D22E6">
        <w:rPr>
          <w:rFonts w:ascii="宋体" w:eastAsia="宋体" w:hAnsi="宋体" w:cs="Times New Roman"/>
          <w:sz w:val="24"/>
          <w:szCs w:val="24"/>
        </w:rPr>
        <w:t>一致性原则</w:t>
      </w:r>
      <w:r w:rsidRPr="005D22E6">
        <w:rPr>
          <w:rFonts w:ascii="宋体" w:eastAsia="宋体" w:hAnsi="宋体" w:cs="Times New Roman" w:hint="eastAsia"/>
          <w:sz w:val="24"/>
          <w:szCs w:val="24"/>
        </w:rPr>
        <w:t>。</w:t>
      </w:r>
      <w:r w:rsidRPr="005D22E6">
        <w:rPr>
          <w:rFonts w:ascii="宋体" w:eastAsia="宋体" w:hAnsi="宋体" w:cs="Times New Roman"/>
          <w:sz w:val="24"/>
          <w:szCs w:val="24"/>
        </w:rPr>
        <w:t>制</w:t>
      </w:r>
      <w:r w:rsidRPr="005D22E6">
        <w:rPr>
          <w:rFonts w:ascii="宋体" w:eastAsia="宋体" w:hAnsi="宋体" w:cs="Times New Roman" w:hint="eastAsia"/>
          <w:sz w:val="24"/>
          <w:szCs w:val="24"/>
        </w:rPr>
        <w:t>修订</w:t>
      </w:r>
      <w:r w:rsidRPr="005D22E6">
        <w:rPr>
          <w:rFonts w:ascii="宋体" w:eastAsia="宋体" w:hAnsi="宋体" w:cs="Times New Roman"/>
          <w:sz w:val="24"/>
          <w:szCs w:val="24"/>
        </w:rPr>
        <w:t>国家标准应当贯彻国家的有关方针、政策、法律、法规，标准条款及内容应与现行相关法律法规、引用标准准则之规定保持一致，不可与之抵触；其格式、语言形式等应规范，不能标新立异。</w:t>
      </w:r>
    </w:p>
    <w:p w14:paraId="62FC59CA" w14:textId="77777777" w:rsidR="002A0DE8" w:rsidRPr="005D22E6" w:rsidRDefault="003B5264">
      <w:pPr>
        <w:spacing w:line="360" w:lineRule="auto"/>
        <w:ind w:firstLineChars="200" w:firstLine="480"/>
        <w:rPr>
          <w:rFonts w:ascii="宋体" w:eastAsia="宋体" w:hAnsi="宋体" w:cs="Times New Roman"/>
          <w:sz w:val="24"/>
          <w:szCs w:val="24"/>
        </w:rPr>
      </w:pPr>
      <w:r w:rsidRPr="005D22E6">
        <w:rPr>
          <w:rFonts w:ascii="宋体" w:eastAsia="宋体" w:hAnsi="宋体" w:cs="Times New Roman"/>
          <w:sz w:val="24"/>
          <w:szCs w:val="24"/>
        </w:rPr>
        <w:t>科学适用原则</w:t>
      </w:r>
      <w:r w:rsidRPr="005D22E6">
        <w:rPr>
          <w:rFonts w:ascii="宋体" w:eastAsia="宋体" w:hAnsi="宋体" w:cs="Times New Roman" w:hint="eastAsia"/>
          <w:sz w:val="24"/>
          <w:szCs w:val="24"/>
        </w:rPr>
        <w:t>。</w:t>
      </w:r>
      <w:r w:rsidRPr="005D22E6">
        <w:rPr>
          <w:rFonts w:ascii="宋体" w:eastAsia="宋体" w:hAnsi="宋体" w:cs="Times New Roman"/>
          <w:sz w:val="24"/>
          <w:szCs w:val="24"/>
        </w:rPr>
        <w:t>国家标准的制</w:t>
      </w:r>
      <w:r w:rsidRPr="005D22E6">
        <w:rPr>
          <w:rFonts w:ascii="宋体" w:eastAsia="宋体" w:hAnsi="宋体" w:cs="Times New Roman" w:hint="eastAsia"/>
          <w:sz w:val="24"/>
          <w:szCs w:val="24"/>
        </w:rPr>
        <w:t>修订</w:t>
      </w:r>
      <w:r w:rsidRPr="005D22E6">
        <w:rPr>
          <w:rFonts w:ascii="宋体" w:eastAsia="宋体" w:hAnsi="宋体" w:cs="Times New Roman"/>
          <w:sz w:val="24"/>
          <w:szCs w:val="24"/>
        </w:rPr>
        <w:t>过程中一切结论的获得均应有充分的科学论据给予支持，采用的方法、使用设备等应与当前社会</w:t>
      </w:r>
      <w:r w:rsidRPr="005D22E6">
        <w:rPr>
          <w:rFonts w:ascii="Times New Roman" w:eastAsia="宋体" w:hAnsi="宋体" w:cs="Times New Roman"/>
          <w:kern w:val="0"/>
          <w:sz w:val="24"/>
          <w:szCs w:val="24"/>
        </w:rPr>
        <w:t>发展</w:t>
      </w:r>
      <w:r w:rsidRPr="005D22E6">
        <w:rPr>
          <w:rFonts w:ascii="宋体" w:eastAsia="宋体" w:hAnsi="宋体" w:cs="Times New Roman"/>
          <w:sz w:val="24"/>
          <w:szCs w:val="24"/>
        </w:rPr>
        <w:t>相协调，制</w:t>
      </w:r>
      <w:r w:rsidRPr="005D22E6">
        <w:rPr>
          <w:rFonts w:ascii="宋体" w:eastAsia="宋体" w:hAnsi="宋体" w:cs="Times New Roman" w:hint="eastAsia"/>
          <w:sz w:val="24"/>
          <w:szCs w:val="24"/>
        </w:rPr>
        <w:t>修订</w:t>
      </w:r>
      <w:r w:rsidRPr="005D22E6">
        <w:rPr>
          <w:rFonts w:ascii="宋体" w:eastAsia="宋体" w:hAnsi="宋体" w:cs="Times New Roman"/>
          <w:sz w:val="24"/>
          <w:szCs w:val="24"/>
        </w:rPr>
        <w:t>出的标准应有利于开发和利用国家资源、推广科学技术成果；有利于促进对外经济技术合作与对外贸易的发展；有利于保障人民的安全、身体健康，保护生态环境；有利于维护消费者的利益等，总之应做到“技术先进、经济合理、安全可靠、协调配套”的科学理念。</w:t>
      </w:r>
    </w:p>
    <w:p w14:paraId="060D7E44" w14:textId="77777777" w:rsidR="002A0DE8" w:rsidRPr="005D22E6" w:rsidRDefault="003B5264" w:rsidP="00F34655">
      <w:pPr>
        <w:spacing w:beforeLines="50" w:before="156" w:afterLines="50" w:after="156" w:line="360" w:lineRule="auto"/>
        <w:outlineLvl w:val="1"/>
        <w:rPr>
          <w:rFonts w:ascii="黑体" w:eastAsia="黑体" w:hAnsi="黑体" w:cs="Times New Roman"/>
          <w:sz w:val="24"/>
          <w:szCs w:val="24"/>
        </w:rPr>
      </w:pPr>
      <w:r w:rsidRPr="005D22E6">
        <w:rPr>
          <w:rFonts w:ascii="黑体" w:eastAsia="黑体" w:hAnsi="黑体" w:cs="Times New Roman" w:hint="eastAsia"/>
          <w:sz w:val="24"/>
          <w:szCs w:val="24"/>
        </w:rPr>
        <w:t>2.</w:t>
      </w:r>
      <w:r w:rsidRPr="005D22E6">
        <w:rPr>
          <w:rFonts w:ascii="黑体" w:eastAsia="黑体" w:hAnsi="黑体" w:cs="Times New Roman"/>
          <w:sz w:val="24"/>
          <w:szCs w:val="24"/>
        </w:rPr>
        <w:t>2  新旧国家标准水平的对比</w:t>
      </w:r>
    </w:p>
    <w:p w14:paraId="4EB1AF0C"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sz w:val="24"/>
          <w:szCs w:val="24"/>
        </w:rPr>
        <w:t>《金</w:t>
      </w:r>
      <w:r w:rsidRPr="005D22E6">
        <w:rPr>
          <w:rFonts w:ascii="宋体" w:eastAsia="宋体" w:hAnsi="宋体" w:cs="Times New Roman" w:hint="eastAsia"/>
          <w:sz w:val="24"/>
          <w:szCs w:val="24"/>
        </w:rPr>
        <w:t>精矿</w:t>
      </w:r>
      <w:r w:rsidRPr="005D22E6">
        <w:rPr>
          <w:rFonts w:ascii="宋体" w:eastAsia="宋体" w:hAnsi="宋体" w:cs="Times New Roman"/>
          <w:sz w:val="24"/>
          <w:szCs w:val="24"/>
        </w:rPr>
        <w:t>化学分析方法</w:t>
      </w:r>
      <w:r w:rsidRPr="005D22E6">
        <w:rPr>
          <w:rFonts w:ascii="宋体" w:eastAsia="宋体" w:hAnsi="宋体" w:cs="Times New Roman" w:hint="eastAsia"/>
          <w:sz w:val="24"/>
          <w:szCs w:val="24"/>
        </w:rPr>
        <w:t xml:space="preserve"> </w:t>
      </w:r>
      <w:r w:rsidRPr="005D22E6">
        <w:rPr>
          <w:rFonts w:ascii="宋体" w:eastAsia="宋体" w:hAnsi="宋体" w:cs="Times New Roman"/>
          <w:sz w:val="24"/>
          <w:szCs w:val="24"/>
        </w:rPr>
        <w:t xml:space="preserve"> </w:t>
      </w:r>
      <w:r w:rsidRPr="005D22E6">
        <w:rPr>
          <w:rFonts w:ascii="宋体" w:eastAsia="宋体" w:hAnsi="宋体" w:cs="Times New Roman" w:hint="eastAsia"/>
          <w:sz w:val="24"/>
          <w:szCs w:val="24"/>
        </w:rPr>
        <w:t>第7部分：</w:t>
      </w:r>
      <w:r w:rsidRPr="005D22E6">
        <w:rPr>
          <w:rFonts w:ascii="宋体" w:eastAsia="宋体" w:hAnsi="宋体" w:cs="Times New Roman" w:hint="eastAsia"/>
          <w:kern w:val="0"/>
          <w:sz w:val="24"/>
          <w:szCs w:val="24"/>
        </w:rPr>
        <w:t>铁</w:t>
      </w:r>
      <w:r w:rsidRPr="005D22E6">
        <w:rPr>
          <w:rFonts w:ascii="宋体" w:eastAsia="宋体" w:hAnsi="宋体" w:cs="Times New Roman"/>
          <w:kern w:val="0"/>
          <w:sz w:val="24"/>
          <w:szCs w:val="24"/>
        </w:rPr>
        <w:t>量的测定</w:t>
      </w:r>
      <w:r w:rsidRPr="005D22E6">
        <w:rPr>
          <w:rFonts w:ascii="宋体" w:eastAsia="宋体" w:hAnsi="宋体" w:cs="Times New Roman"/>
          <w:sz w:val="24"/>
          <w:szCs w:val="24"/>
        </w:rPr>
        <w:t>》</w:t>
      </w:r>
      <w:r w:rsidRPr="005D22E6">
        <w:rPr>
          <w:rFonts w:ascii="宋体" w:eastAsia="宋体" w:hAnsi="宋体" w:cs="Times New Roman"/>
          <w:kern w:val="0"/>
          <w:sz w:val="24"/>
          <w:szCs w:val="24"/>
        </w:rPr>
        <w:t>国家标准</w:t>
      </w:r>
      <w:r w:rsidRPr="005D22E6">
        <w:rPr>
          <w:rFonts w:ascii="宋体" w:eastAsia="宋体" w:hAnsi="宋体" w:cs="Times New Roman"/>
          <w:sz w:val="24"/>
          <w:szCs w:val="24"/>
        </w:rPr>
        <w:t>各部分相</w:t>
      </w:r>
      <w:r w:rsidRPr="005D22E6">
        <w:rPr>
          <w:rFonts w:ascii="宋体" w:eastAsia="宋体" w:hAnsi="宋体" w:cs="Times New Roman"/>
          <w:kern w:val="0"/>
          <w:sz w:val="24"/>
          <w:szCs w:val="24"/>
        </w:rPr>
        <w:t>关条款的主要技术内容作如下说明：</w:t>
      </w:r>
    </w:p>
    <w:p w14:paraId="11954FFB" w14:textId="77777777" w:rsidR="002A0DE8" w:rsidRPr="005D22E6" w:rsidRDefault="003B5264">
      <w:pPr>
        <w:spacing w:line="360" w:lineRule="auto"/>
        <w:ind w:firstLineChars="200" w:firstLine="480"/>
        <w:rPr>
          <w:rFonts w:ascii="宋体" w:eastAsia="宋体" w:hAnsi="宋体" w:cs="Times New Roman"/>
          <w:sz w:val="24"/>
          <w:szCs w:val="24"/>
        </w:rPr>
      </w:pPr>
      <w:r w:rsidRPr="005D22E6">
        <w:rPr>
          <w:rFonts w:ascii="宋体" w:eastAsia="宋体" w:hAnsi="宋体" w:cs="Times New Roman" w:hint="eastAsia"/>
          <w:sz w:val="24"/>
          <w:szCs w:val="24"/>
        </w:rPr>
        <w:t>本部分与GB/T 7739.7—2007相比，除结构性调整和编辑性改动外，主要技术变化如下：</w:t>
      </w:r>
    </w:p>
    <w:p w14:paraId="282A03E3" w14:textId="77777777" w:rsidR="002A0DE8" w:rsidRPr="005D22E6" w:rsidRDefault="003B5264">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hint="eastAsia"/>
          <w:kern w:val="0"/>
          <w:sz w:val="24"/>
          <w:szCs w:val="24"/>
        </w:rPr>
        <w:t>a） 修改了铁的测定范围（见第1章，2007年版的第1章）；</w:t>
      </w:r>
    </w:p>
    <w:p w14:paraId="6EE3DBAD" w14:textId="77777777" w:rsidR="002A0DE8" w:rsidRPr="005D22E6" w:rsidRDefault="003B5264">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hint="eastAsia"/>
          <w:kern w:val="0"/>
          <w:sz w:val="24"/>
          <w:szCs w:val="24"/>
        </w:rPr>
        <w:t>b） 修改了测定方法，删除了二氯化汞，改为二氯化锡-三氯化钛还原（见7.3，2007年版的5.3.3）；</w:t>
      </w:r>
    </w:p>
    <w:p w14:paraId="366F6F3D" w14:textId="77777777" w:rsidR="002A0DE8" w:rsidRPr="005D22E6" w:rsidRDefault="003B5264">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hint="eastAsia"/>
          <w:kern w:val="0"/>
          <w:sz w:val="24"/>
          <w:szCs w:val="24"/>
        </w:rPr>
        <w:t>c） 增加了干扰的消除方式（见7.3）；</w:t>
      </w:r>
    </w:p>
    <w:p w14:paraId="3D4214AE" w14:textId="77777777" w:rsidR="00AD42B0" w:rsidRPr="005D22E6" w:rsidRDefault="00AD42B0">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hint="eastAsia"/>
          <w:kern w:val="0"/>
          <w:sz w:val="24"/>
          <w:szCs w:val="24"/>
        </w:rPr>
        <w:t>d） 修改了计算公式［见公式（1），2007年版的公式（2）］；</w:t>
      </w:r>
    </w:p>
    <w:p w14:paraId="6C0B4682" w14:textId="0B8282DB" w:rsidR="002A0DE8" w:rsidRPr="005D22E6" w:rsidRDefault="00AD42B0">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kern w:val="0"/>
          <w:sz w:val="24"/>
          <w:szCs w:val="24"/>
        </w:rPr>
        <w:lastRenderedPageBreak/>
        <w:t>e</w:t>
      </w:r>
      <w:r w:rsidR="003B5264" w:rsidRPr="005D22E6">
        <w:rPr>
          <w:rFonts w:ascii="宋体" w:eastAsia="宋体" w:hAnsi="宋体" w:cs="Times New Roman" w:hint="eastAsia"/>
          <w:kern w:val="0"/>
          <w:sz w:val="24"/>
          <w:szCs w:val="24"/>
        </w:rPr>
        <w:t>） 删除了“允许差”要求（见2007年版的第7章）；</w:t>
      </w:r>
    </w:p>
    <w:p w14:paraId="079CD0C8" w14:textId="20990D7C" w:rsidR="002A0DE8" w:rsidRPr="005D22E6" w:rsidRDefault="00AD42B0">
      <w:pPr>
        <w:spacing w:line="360" w:lineRule="auto"/>
        <w:ind w:leftChars="200" w:left="900" w:hangingChars="200" w:hanging="480"/>
        <w:rPr>
          <w:rFonts w:ascii="宋体" w:eastAsia="宋体" w:hAnsi="宋体" w:cs="Times New Roman"/>
          <w:kern w:val="0"/>
          <w:sz w:val="24"/>
          <w:szCs w:val="24"/>
        </w:rPr>
      </w:pPr>
      <w:r w:rsidRPr="005D22E6">
        <w:rPr>
          <w:rFonts w:ascii="宋体" w:eastAsia="宋体" w:hAnsi="宋体" w:cs="Times New Roman"/>
          <w:kern w:val="0"/>
          <w:sz w:val="24"/>
          <w:szCs w:val="24"/>
        </w:rPr>
        <w:t>f</w:t>
      </w:r>
      <w:r w:rsidR="003B5264" w:rsidRPr="005D22E6">
        <w:rPr>
          <w:rFonts w:ascii="宋体" w:eastAsia="宋体" w:hAnsi="宋体" w:cs="Times New Roman" w:hint="eastAsia"/>
          <w:kern w:val="0"/>
          <w:sz w:val="24"/>
          <w:szCs w:val="24"/>
        </w:rPr>
        <w:t>） 增加了“重复性”和“再现性”要求（见第9章）。</w:t>
      </w:r>
    </w:p>
    <w:p w14:paraId="26023D55"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kern w:val="0"/>
          <w:sz w:val="24"/>
          <w:szCs w:val="24"/>
        </w:rPr>
        <w:t>GB/T</w:t>
      </w:r>
      <w:r w:rsidRPr="005D22E6">
        <w:rPr>
          <w:rFonts w:ascii="宋体" w:eastAsia="宋体" w:hAnsi="宋体" w:cs="Times New Roman" w:hint="eastAsia"/>
          <w:kern w:val="0"/>
          <w:sz w:val="24"/>
          <w:szCs w:val="24"/>
        </w:rPr>
        <w:t xml:space="preserve"> 7739.7—</w:t>
      </w:r>
      <w:r w:rsidRPr="005D22E6">
        <w:rPr>
          <w:rFonts w:ascii="宋体" w:eastAsia="宋体" w:hAnsi="宋体" w:cs="Times New Roman"/>
          <w:kern w:val="0"/>
          <w:sz w:val="24"/>
          <w:szCs w:val="24"/>
        </w:rPr>
        <w:t>2007</w:t>
      </w:r>
      <w:r w:rsidRPr="005D22E6">
        <w:rPr>
          <w:rFonts w:ascii="宋体" w:eastAsia="宋体" w:hAnsi="宋体" w:cs="Times New Roman" w:hint="eastAsia"/>
          <w:kern w:val="0"/>
          <w:sz w:val="24"/>
          <w:szCs w:val="24"/>
        </w:rPr>
        <w:t>《金精矿</w:t>
      </w:r>
      <w:r w:rsidRPr="005D22E6">
        <w:rPr>
          <w:rFonts w:ascii="宋体" w:eastAsia="宋体" w:hAnsi="宋体" w:cs="Times New Roman"/>
          <w:kern w:val="0"/>
          <w:sz w:val="24"/>
          <w:szCs w:val="24"/>
        </w:rPr>
        <w:t>化学分析方法</w:t>
      </w:r>
      <w:r w:rsidRPr="005D22E6">
        <w:rPr>
          <w:rFonts w:ascii="宋体" w:eastAsia="宋体" w:hAnsi="宋体" w:cs="Times New Roman" w:hint="eastAsia"/>
          <w:kern w:val="0"/>
          <w:sz w:val="24"/>
          <w:szCs w:val="24"/>
        </w:rPr>
        <w:t xml:space="preserve"> </w:t>
      </w:r>
      <w:r w:rsidRPr="005D22E6">
        <w:rPr>
          <w:rFonts w:ascii="宋体" w:eastAsia="宋体" w:hAnsi="宋体" w:cs="Times New Roman"/>
          <w:kern w:val="0"/>
          <w:sz w:val="24"/>
          <w:szCs w:val="24"/>
        </w:rPr>
        <w:t xml:space="preserve"> 第</w:t>
      </w:r>
      <w:r w:rsidRPr="005D22E6">
        <w:rPr>
          <w:rFonts w:ascii="宋体" w:eastAsia="宋体" w:hAnsi="宋体" w:cs="Times New Roman" w:hint="eastAsia"/>
          <w:kern w:val="0"/>
          <w:sz w:val="24"/>
          <w:szCs w:val="24"/>
        </w:rPr>
        <w:t>7</w:t>
      </w:r>
      <w:r w:rsidRPr="005D22E6">
        <w:rPr>
          <w:rFonts w:ascii="宋体" w:eastAsia="宋体" w:hAnsi="宋体" w:cs="Times New Roman"/>
          <w:kern w:val="0"/>
          <w:sz w:val="24"/>
          <w:szCs w:val="24"/>
        </w:rPr>
        <w:t>部分</w:t>
      </w:r>
      <w:r w:rsidRPr="005D22E6">
        <w:rPr>
          <w:rFonts w:ascii="宋体" w:eastAsia="宋体" w:hAnsi="宋体" w:cs="Times New Roman" w:hint="eastAsia"/>
          <w:kern w:val="0"/>
          <w:sz w:val="24"/>
          <w:szCs w:val="24"/>
        </w:rPr>
        <w:t>：铁</w:t>
      </w:r>
      <w:r w:rsidRPr="005D22E6">
        <w:rPr>
          <w:rFonts w:ascii="宋体" w:eastAsia="宋体" w:hAnsi="宋体" w:cs="Times New Roman"/>
          <w:kern w:val="0"/>
          <w:sz w:val="24"/>
          <w:szCs w:val="24"/>
        </w:rPr>
        <w:t>量的测定</w:t>
      </w:r>
      <w:r w:rsidRPr="005D22E6">
        <w:rPr>
          <w:rFonts w:ascii="宋体" w:eastAsia="宋体" w:hAnsi="宋体" w:cs="Times New Roman" w:hint="eastAsia"/>
          <w:kern w:val="0"/>
          <w:sz w:val="24"/>
          <w:szCs w:val="24"/>
        </w:rPr>
        <w:t>》</w:t>
      </w:r>
      <w:r w:rsidRPr="005D22E6">
        <w:rPr>
          <w:rFonts w:ascii="宋体" w:eastAsia="宋体" w:hAnsi="宋体" w:cs="Times New Roman"/>
          <w:kern w:val="0"/>
          <w:sz w:val="24"/>
          <w:szCs w:val="24"/>
        </w:rPr>
        <w:t>已实施多年，在本次的国家标准修订中，需要在</w:t>
      </w:r>
      <w:r w:rsidRPr="005D22E6">
        <w:rPr>
          <w:rFonts w:ascii="宋体" w:eastAsia="宋体" w:hAnsi="宋体" w:cs="Times New Roman" w:hint="eastAsia"/>
          <w:kern w:val="0"/>
          <w:sz w:val="24"/>
          <w:szCs w:val="24"/>
        </w:rPr>
        <w:t>试验</w:t>
      </w:r>
      <w:r w:rsidRPr="005D22E6">
        <w:rPr>
          <w:rFonts w:ascii="宋体" w:eastAsia="宋体" w:hAnsi="宋体" w:cs="Times New Roman"/>
          <w:kern w:val="0"/>
          <w:sz w:val="24"/>
          <w:szCs w:val="24"/>
        </w:rPr>
        <w:t>方法及测定范围等方面</w:t>
      </w:r>
      <w:r w:rsidRPr="005D22E6">
        <w:rPr>
          <w:rFonts w:ascii="宋体" w:eastAsia="宋体" w:hAnsi="宋体" w:cs="Times New Roman" w:hint="eastAsia"/>
          <w:kern w:val="0"/>
          <w:sz w:val="24"/>
          <w:szCs w:val="24"/>
        </w:rPr>
        <w:t>作</w:t>
      </w:r>
      <w:r w:rsidRPr="005D22E6">
        <w:rPr>
          <w:rFonts w:ascii="宋体" w:eastAsia="宋体" w:hAnsi="宋体" w:cs="Times New Roman"/>
          <w:kern w:val="0"/>
          <w:sz w:val="24"/>
          <w:szCs w:val="24"/>
        </w:rPr>
        <w:t>出一定的变动，以增强国家标准的适用性</w:t>
      </w:r>
      <w:r w:rsidRPr="005D22E6">
        <w:rPr>
          <w:rFonts w:ascii="宋体" w:eastAsia="宋体" w:hAnsi="宋体" w:cs="Times New Roman" w:hint="eastAsia"/>
          <w:kern w:val="0"/>
          <w:sz w:val="24"/>
          <w:szCs w:val="24"/>
        </w:rPr>
        <w:t>。</w:t>
      </w:r>
      <w:r w:rsidRPr="005D22E6">
        <w:rPr>
          <w:rFonts w:ascii="宋体" w:eastAsia="宋体" w:hAnsi="宋体" w:cs="Times New Roman"/>
          <w:kern w:val="0"/>
          <w:sz w:val="24"/>
          <w:szCs w:val="24"/>
        </w:rPr>
        <w:t>通过本次国家标准的修订，满足企业对国家标准的需求，对整个黄金行业的健康发展提供更强</w:t>
      </w:r>
      <w:r w:rsidRPr="005D22E6">
        <w:rPr>
          <w:rFonts w:ascii="宋体" w:eastAsia="宋体" w:hAnsi="宋体" w:cs="Times New Roman" w:hint="eastAsia"/>
          <w:kern w:val="0"/>
          <w:sz w:val="24"/>
          <w:szCs w:val="24"/>
        </w:rPr>
        <w:t>有力</w:t>
      </w:r>
      <w:r w:rsidRPr="005D22E6">
        <w:rPr>
          <w:rFonts w:ascii="宋体" w:eastAsia="宋体" w:hAnsi="宋体" w:cs="Times New Roman"/>
          <w:kern w:val="0"/>
          <w:sz w:val="24"/>
          <w:szCs w:val="24"/>
        </w:rPr>
        <w:t>的技术支撑。</w:t>
      </w:r>
    </w:p>
    <w:p w14:paraId="3EF7B3F4" w14:textId="77777777" w:rsidR="002A0DE8" w:rsidRPr="005D22E6" w:rsidRDefault="003B5264" w:rsidP="00F34655">
      <w:pPr>
        <w:spacing w:beforeLines="50" w:before="156" w:afterLines="50" w:after="156" w:line="360" w:lineRule="auto"/>
        <w:outlineLvl w:val="1"/>
        <w:rPr>
          <w:rFonts w:ascii="黑体" w:eastAsia="黑体" w:hAnsi="黑体" w:cs="Times New Roman"/>
          <w:sz w:val="24"/>
          <w:szCs w:val="24"/>
        </w:rPr>
      </w:pPr>
      <w:r w:rsidRPr="005D22E6">
        <w:rPr>
          <w:rFonts w:ascii="黑体" w:eastAsia="黑体" w:hAnsi="黑体" w:cs="Times New Roman"/>
          <w:sz w:val="24"/>
          <w:szCs w:val="24"/>
        </w:rPr>
        <w:t>2</w:t>
      </w:r>
      <w:r w:rsidRPr="005D22E6">
        <w:rPr>
          <w:rFonts w:ascii="黑体" w:eastAsia="黑体" w:hAnsi="黑体" w:cs="Times New Roman" w:hint="eastAsia"/>
          <w:sz w:val="24"/>
          <w:szCs w:val="24"/>
        </w:rPr>
        <w:t>.</w:t>
      </w:r>
      <w:r w:rsidRPr="005D22E6">
        <w:rPr>
          <w:rFonts w:ascii="黑体" w:eastAsia="黑体" w:hAnsi="黑体" w:cs="Times New Roman"/>
          <w:sz w:val="24"/>
          <w:szCs w:val="24"/>
        </w:rPr>
        <w:t>3</w:t>
      </w:r>
      <w:r w:rsidRPr="005D22E6">
        <w:rPr>
          <w:rFonts w:ascii="黑体" w:eastAsia="黑体" w:hAnsi="黑体" w:cs="Times New Roman" w:hint="eastAsia"/>
          <w:sz w:val="24"/>
          <w:szCs w:val="24"/>
        </w:rPr>
        <w:t xml:space="preserve"> </w:t>
      </w:r>
      <w:r w:rsidRPr="005D22E6">
        <w:rPr>
          <w:rFonts w:ascii="黑体" w:eastAsia="黑体" w:hAnsi="黑体" w:cs="Times New Roman"/>
          <w:sz w:val="24"/>
          <w:szCs w:val="24"/>
        </w:rPr>
        <w:t xml:space="preserve"> 主要内容</w:t>
      </w:r>
    </w:p>
    <w:p w14:paraId="3FBF7BD2"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1）</w:t>
      </w:r>
      <w:r w:rsidRPr="005D22E6">
        <w:rPr>
          <w:rFonts w:ascii="宋体" w:eastAsia="宋体" w:hAnsi="宋体" w:cs="Times New Roman"/>
          <w:b/>
          <w:sz w:val="24"/>
          <w:szCs w:val="24"/>
        </w:rPr>
        <w:t>测定元素</w:t>
      </w:r>
    </w:p>
    <w:p w14:paraId="2FFDFB83" w14:textId="77777777" w:rsidR="002A0DE8" w:rsidRPr="005D22E6" w:rsidRDefault="003B5264">
      <w:pPr>
        <w:spacing w:line="360" w:lineRule="auto"/>
        <w:ind w:firstLineChars="200" w:firstLine="480"/>
        <w:rPr>
          <w:rFonts w:ascii="Times New Roman" w:eastAsia="宋体" w:hAnsi="Times New Roman" w:cs="Times New Roman"/>
          <w:kern w:val="0"/>
          <w:sz w:val="24"/>
          <w:szCs w:val="24"/>
        </w:rPr>
      </w:pPr>
      <w:r w:rsidRPr="005D22E6">
        <w:rPr>
          <w:rFonts w:ascii="Times New Roman" w:eastAsia="宋体" w:hAnsi="宋体" w:cs="Times New Roman"/>
          <w:kern w:val="0"/>
          <w:sz w:val="24"/>
          <w:szCs w:val="24"/>
        </w:rPr>
        <w:t>本</w:t>
      </w:r>
      <w:r w:rsidRPr="005D22E6">
        <w:rPr>
          <w:rFonts w:ascii="Times New Roman" w:eastAsia="宋体" w:hAnsi="宋体" w:cs="Times New Roman" w:hint="eastAsia"/>
          <w:kern w:val="0"/>
          <w:sz w:val="24"/>
          <w:szCs w:val="24"/>
        </w:rPr>
        <w:t>文件</w:t>
      </w:r>
      <w:r w:rsidRPr="005D22E6">
        <w:rPr>
          <w:rFonts w:ascii="Times New Roman" w:eastAsia="宋体" w:hAnsi="宋体" w:cs="Times New Roman"/>
          <w:kern w:val="0"/>
          <w:sz w:val="24"/>
          <w:szCs w:val="24"/>
        </w:rPr>
        <w:t>测定元素为：</w:t>
      </w:r>
      <w:r w:rsidRPr="005D22E6">
        <w:rPr>
          <w:rFonts w:ascii="Times New Roman" w:eastAsia="宋体" w:hAnsi="Times New Roman" w:cs="Times New Roman" w:hint="eastAsia"/>
          <w:kern w:val="0"/>
          <w:sz w:val="24"/>
          <w:szCs w:val="24"/>
        </w:rPr>
        <w:t>Fe</w:t>
      </w:r>
      <w:r w:rsidRPr="005D22E6">
        <w:rPr>
          <w:rFonts w:ascii="Times New Roman" w:eastAsia="宋体" w:hAnsi="宋体" w:cs="Times New Roman" w:hint="eastAsia"/>
          <w:kern w:val="0"/>
          <w:sz w:val="24"/>
          <w:szCs w:val="24"/>
        </w:rPr>
        <w:t>。</w:t>
      </w:r>
    </w:p>
    <w:p w14:paraId="3DA68A5C"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2）</w:t>
      </w:r>
      <w:r w:rsidRPr="005D22E6">
        <w:rPr>
          <w:rFonts w:ascii="宋体" w:eastAsia="宋体" w:hAnsi="宋体" w:cs="Times New Roman"/>
          <w:b/>
          <w:sz w:val="24"/>
          <w:szCs w:val="24"/>
        </w:rPr>
        <w:t>测定范围</w:t>
      </w:r>
    </w:p>
    <w:p w14:paraId="3916C6FC" w14:textId="77777777" w:rsidR="002A0DE8" w:rsidRPr="005D22E6" w:rsidRDefault="003B5264">
      <w:pPr>
        <w:spacing w:line="360" w:lineRule="auto"/>
        <w:ind w:firstLineChars="200" w:firstLine="480"/>
        <w:rPr>
          <w:rFonts w:ascii="宋体" w:eastAsia="宋体" w:hAnsi="宋体" w:cs="Times New Roman"/>
          <w:sz w:val="24"/>
          <w:szCs w:val="24"/>
        </w:rPr>
      </w:pPr>
      <w:r w:rsidRPr="005D22E6">
        <w:rPr>
          <w:rFonts w:ascii="宋体" w:eastAsia="宋体" w:hAnsi="宋体" w:cs="Times New Roman"/>
          <w:kern w:val="0"/>
          <w:sz w:val="24"/>
          <w:szCs w:val="24"/>
        </w:rPr>
        <w:t>本</w:t>
      </w:r>
      <w:r w:rsidRPr="005D22E6">
        <w:rPr>
          <w:rFonts w:ascii="宋体" w:eastAsia="宋体" w:hAnsi="宋体" w:cs="Times New Roman" w:hint="eastAsia"/>
          <w:kern w:val="0"/>
          <w:sz w:val="24"/>
          <w:szCs w:val="24"/>
        </w:rPr>
        <w:t>文件中的</w:t>
      </w:r>
      <w:r w:rsidRPr="005D22E6">
        <w:rPr>
          <w:rFonts w:ascii="宋体" w:eastAsia="宋体" w:hAnsi="宋体" w:cs="Times New Roman"/>
          <w:kern w:val="0"/>
          <w:sz w:val="24"/>
          <w:szCs w:val="24"/>
        </w:rPr>
        <w:t>测定范围</w:t>
      </w:r>
      <w:r w:rsidRPr="005D22E6">
        <w:rPr>
          <w:rFonts w:ascii="宋体" w:eastAsia="宋体" w:hAnsi="宋体" w:cs="Times New Roman" w:hint="eastAsia"/>
          <w:kern w:val="0"/>
          <w:sz w:val="24"/>
          <w:szCs w:val="24"/>
        </w:rPr>
        <w:t>均</w:t>
      </w:r>
      <w:r w:rsidRPr="005D22E6">
        <w:rPr>
          <w:rFonts w:ascii="宋体" w:eastAsia="宋体" w:hAnsi="宋体" w:cs="Times New Roman"/>
          <w:kern w:val="0"/>
          <w:sz w:val="24"/>
          <w:szCs w:val="24"/>
        </w:rPr>
        <w:t>为</w:t>
      </w:r>
      <w:r w:rsidRPr="005D22E6">
        <w:rPr>
          <w:rFonts w:ascii="宋体" w:eastAsia="宋体" w:hAnsi="宋体" w:cs="Times New Roman" w:hint="eastAsia"/>
          <w:sz w:val="24"/>
          <w:szCs w:val="24"/>
        </w:rPr>
        <w:t>1.00％～40.00％</w:t>
      </w:r>
      <w:r w:rsidRPr="005D22E6">
        <w:rPr>
          <w:rFonts w:ascii="宋体" w:eastAsia="宋体" w:hAnsi="宋体" w:cs="Times New Roman"/>
          <w:sz w:val="24"/>
          <w:szCs w:val="24"/>
        </w:rPr>
        <w:t>。</w:t>
      </w:r>
    </w:p>
    <w:p w14:paraId="39DC8A0A"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3）</w:t>
      </w:r>
      <w:r w:rsidRPr="005D22E6">
        <w:rPr>
          <w:rFonts w:ascii="宋体" w:eastAsia="宋体" w:hAnsi="宋体" w:cs="Times New Roman"/>
          <w:b/>
          <w:sz w:val="24"/>
          <w:szCs w:val="24"/>
        </w:rPr>
        <w:t>仪器测定参数选择、确定及校正</w:t>
      </w:r>
    </w:p>
    <w:p w14:paraId="5CA868F7" w14:textId="77777777" w:rsidR="002A0DE8" w:rsidRPr="005D22E6" w:rsidRDefault="003B5264">
      <w:pPr>
        <w:spacing w:line="360" w:lineRule="auto"/>
        <w:ind w:firstLineChars="200" w:firstLine="480"/>
        <w:rPr>
          <w:rFonts w:ascii="Times New Roman" w:eastAsia="宋体" w:hAnsi="宋体" w:cs="Times New Roman"/>
          <w:sz w:val="24"/>
          <w:szCs w:val="24"/>
        </w:rPr>
      </w:pPr>
      <w:r w:rsidRPr="005D22E6">
        <w:rPr>
          <w:rFonts w:ascii="Times New Roman" w:eastAsia="宋体" w:hAnsi="宋体" w:cs="Times New Roman" w:hint="eastAsia"/>
          <w:sz w:val="24"/>
          <w:szCs w:val="24"/>
        </w:rPr>
        <w:t>确定了仪器测定参数</w:t>
      </w:r>
      <w:r w:rsidRPr="005D22E6">
        <w:rPr>
          <w:rFonts w:ascii="Times New Roman" w:eastAsia="宋体" w:hAnsi="宋体" w:cs="Times New Roman"/>
          <w:sz w:val="24"/>
          <w:szCs w:val="24"/>
        </w:rPr>
        <w:t>（见</w:t>
      </w:r>
      <w:r w:rsidRPr="005D22E6">
        <w:rPr>
          <w:rFonts w:ascii="Times New Roman" w:eastAsia="宋体" w:hAnsi="宋体" w:cs="Times New Roman" w:hint="eastAsia"/>
          <w:sz w:val="24"/>
          <w:szCs w:val="24"/>
        </w:rPr>
        <w:t>文件</w:t>
      </w:r>
      <w:r w:rsidRPr="005D22E6">
        <w:rPr>
          <w:rFonts w:ascii="Times New Roman" w:eastAsia="宋体" w:hAnsi="宋体" w:cs="Times New Roman"/>
          <w:kern w:val="0"/>
          <w:sz w:val="24"/>
          <w:szCs w:val="24"/>
        </w:rPr>
        <w:t>正文</w:t>
      </w:r>
      <w:r w:rsidRPr="005D22E6">
        <w:rPr>
          <w:rFonts w:ascii="Times New Roman" w:eastAsia="宋体" w:hAnsi="宋体" w:cs="Times New Roman"/>
          <w:sz w:val="24"/>
          <w:szCs w:val="24"/>
        </w:rPr>
        <w:t>）。</w:t>
      </w:r>
      <w:r w:rsidRPr="005D22E6">
        <w:rPr>
          <w:rFonts w:ascii="Times New Roman" w:eastAsia="宋体" w:hAnsi="宋体" w:cs="Times New Roman" w:hint="eastAsia"/>
          <w:sz w:val="24"/>
          <w:szCs w:val="24"/>
        </w:rPr>
        <w:t>在确定了仪器参数的情况下考察了</w:t>
      </w:r>
      <w:r w:rsidRPr="005D22E6">
        <w:rPr>
          <w:rFonts w:ascii="Times New Roman" w:eastAsia="宋体" w:hAnsi="宋体" w:cs="Times New Roman"/>
          <w:sz w:val="24"/>
          <w:szCs w:val="24"/>
        </w:rPr>
        <w:t>精密度考察</w:t>
      </w:r>
      <w:r w:rsidRPr="005D22E6">
        <w:rPr>
          <w:rFonts w:ascii="Times New Roman" w:eastAsia="宋体" w:hAnsi="Times New Roman" w:cs="Times New Roman" w:hint="eastAsia"/>
          <w:sz w:val="24"/>
          <w:szCs w:val="24"/>
        </w:rPr>
        <w:t>、各元素的</w:t>
      </w:r>
      <w:r w:rsidRPr="005D22E6">
        <w:rPr>
          <w:rFonts w:ascii="Times New Roman" w:eastAsia="宋体" w:hAnsi="宋体" w:cs="Times New Roman"/>
          <w:sz w:val="24"/>
          <w:szCs w:val="24"/>
        </w:rPr>
        <w:t>干扰试验</w:t>
      </w:r>
      <w:r w:rsidRPr="005D22E6">
        <w:rPr>
          <w:rFonts w:ascii="Times New Roman" w:eastAsia="宋体" w:hAnsi="宋体" w:cs="Times New Roman" w:hint="eastAsia"/>
          <w:sz w:val="24"/>
          <w:szCs w:val="24"/>
        </w:rPr>
        <w:t>。</w:t>
      </w:r>
    </w:p>
    <w:p w14:paraId="43CFA293"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4）</w:t>
      </w:r>
      <w:r w:rsidRPr="005D22E6">
        <w:rPr>
          <w:rFonts w:ascii="宋体" w:eastAsia="宋体" w:hAnsi="宋体" w:cs="Times New Roman"/>
          <w:b/>
          <w:sz w:val="24"/>
          <w:szCs w:val="24"/>
        </w:rPr>
        <w:t>条件试验</w:t>
      </w:r>
    </w:p>
    <w:p w14:paraId="0F9CA8E3" w14:textId="295EAE2A" w:rsidR="002A0DE8" w:rsidRPr="005D22E6" w:rsidRDefault="003B5264">
      <w:pPr>
        <w:spacing w:line="360" w:lineRule="auto"/>
        <w:ind w:firstLineChars="200" w:firstLine="480"/>
        <w:rPr>
          <w:rFonts w:ascii="宋体" w:hAnsi="宋体" w:cs="宋体"/>
          <w:sz w:val="24"/>
          <w:szCs w:val="24"/>
        </w:rPr>
      </w:pPr>
      <w:r w:rsidRPr="005D22E6">
        <w:rPr>
          <w:rFonts w:ascii="宋体" w:hAnsi="宋体" w:cs="宋体" w:hint="eastAsia"/>
          <w:sz w:val="24"/>
          <w:szCs w:val="24"/>
        </w:rPr>
        <w:t>重铬酸钾滴定法法主要考察：滴定前的放置时间、铜的分离界限、称样量、消解过程加入盐酸后的加热温度、氯化铵加入量、分离浸出前的加水体积或加酸酸度、分离时氨水过量体积、分离时加入氨水后的保温时间、分离时滤纸的选择、滴定时稀重铬酸钾和硫酸铜选择、滤液滤渣中铁残留量、空白试验、干扰试验。通过试验确定：铁的滴定应随调随滴；最佳称样量为依据含量不同选择不同的称样量；消解过程中加入盐酸后温度为</w:t>
      </w:r>
      <w:r w:rsidR="00FC5C90" w:rsidRPr="005D22E6">
        <w:rPr>
          <w:rFonts w:ascii="宋体" w:hAnsi="宋体" w:cs="宋体" w:hint="eastAsia"/>
          <w:sz w:val="24"/>
          <w:szCs w:val="24"/>
        </w:rPr>
        <w:t>不沸腾状态加热</w:t>
      </w:r>
      <w:r w:rsidRPr="005D22E6">
        <w:rPr>
          <w:rFonts w:ascii="宋体" w:hAnsi="宋体" w:cs="宋体" w:hint="eastAsia"/>
          <w:sz w:val="24"/>
          <w:szCs w:val="24"/>
        </w:rPr>
        <w:t>；不分离铜浸出前的酸度为30</w:t>
      </w:r>
      <w:r w:rsidRPr="005D22E6">
        <w:rPr>
          <w:rFonts w:ascii="Times New Roman" w:eastAsia="华文彩云" w:hAnsi="Times New Roman" w:cs="Times New Roman" w:hint="eastAsia"/>
          <w:sz w:val="24"/>
          <w:szCs w:val="24"/>
        </w:rPr>
        <w:t>%</w:t>
      </w:r>
      <w:r w:rsidRPr="005D22E6">
        <w:rPr>
          <w:rFonts w:ascii="宋体" w:hAnsi="宋体" w:cs="宋体" w:hint="eastAsia"/>
          <w:sz w:val="24"/>
          <w:szCs w:val="24"/>
        </w:rPr>
        <w:t>的盐酸；铜含量为</w:t>
      </w:r>
      <w:r w:rsidR="00F34655" w:rsidRPr="005D22E6">
        <w:rPr>
          <w:rFonts w:ascii="宋体" w:hAnsi="宋体" w:cs="宋体" w:hint="eastAsia"/>
          <w:sz w:val="24"/>
          <w:szCs w:val="24"/>
        </w:rPr>
        <w:t>1</w:t>
      </w:r>
      <w:r w:rsidR="0050149C" w:rsidRPr="005D22E6">
        <w:rPr>
          <w:rFonts w:ascii="宋体" w:hAnsi="宋体" w:cs="宋体"/>
          <w:sz w:val="24"/>
          <w:szCs w:val="24"/>
        </w:rPr>
        <w:t xml:space="preserve"> </w:t>
      </w:r>
      <w:r w:rsidR="00F34655" w:rsidRPr="005D22E6">
        <w:rPr>
          <w:rFonts w:ascii="宋体" w:hAnsi="宋体" w:cs="宋体" w:hint="eastAsia"/>
          <w:sz w:val="24"/>
          <w:szCs w:val="24"/>
        </w:rPr>
        <w:t>mg</w:t>
      </w:r>
      <w:r w:rsidRPr="005D22E6">
        <w:rPr>
          <w:rFonts w:ascii="宋体" w:hAnsi="宋体" w:cs="宋体" w:hint="eastAsia"/>
          <w:sz w:val="24"/>
          <w:szCs w:val="24"/>
        </w:rPr>
        <w:t>时，铁的测定时需要分离；分离前以5</w:t>
      </w:r>
      <w:r w:rsidRPr="005D22E6">
        <w:rPr>
          <w:rFonts w:ascii="Times New Roman" w:eastAsia="华文彩云" w:hAnsi="Times New Roman" w:cs="Times New Roman" w:hint="eastAsia"/>
          <w:sz w:val="24"/>
          <w:szCs w:val="24"/>
        </w:rPr>
        <w:t>%</w:t>
      </w:r>
      <w:r w:rsidRPr="005D22E6">
        <w:rPr>
          <w:rFonts w:ascii="宋体" w:hAnsi="宋体" w:cs="宋体" w:hint="eastAsia"/>
          <w:sz w:val="24"/>
          <w:szCs w:val="24"/>
        </w:rPr>
        <w:t>的HCl浸出；氯化铵加入量为</w:t>
      </w:r>
      <w:r w:rsidR="00FC5C90" w:rsidRPr="005D22E6">
        <w:rPr>
          <w:rFonts w:ascii="宋体" w:hAnsi="宋体" w:cs="宋体"/>
          <w:sz w:val="24"/>
          <w:szCs w:val="24"/>
        </w:rPr>
        <w:t>3</w:t>
      </w:r>
      <w:r w:rsidR="0050149C" w:rsidRPr="005D22E6">
        <w:rPr>
          <w:rFonts w:ascii="宋体" w:hAnsi="宋体" w:cs="宋体" w:hint="eastAsia"/>
          <w:sz w:val="24"/>
          <w:szCs w:val="24"/>
        </w:rPr>
        <w:t xml:space="preserve"> g</w:t>
      </w:r>
      <w:r w:rsidR="00FC5C90" w:rsidRPr="005D22E6">
        <w:rPr>
          <w:rFonts w:asciiTheme="minorEastAsia" w:hAnsiTheme="minorEastAsia" w:cs="Times New Roman"/>
          <w:sz w:val="24"/>
          <w:szCs w:val="24"/>
        </w:rPr>
        <w:t>-</w:t>
      </w:r>
      <w:r w:rsidR="00FC5C90" w:rsidRPr="005D22E6">
        <w:rPr>
          <w:rFonts w:ascii="宋体" w:hAnsi="宋体" w:cs="宋体"/>
          <w:sz w:val="24"/>
          <w:szCs w:val="24"/>
        </w:rPr>
        <w:t>4</w:t>
      </w:r>
      <w:r w:rsidRPr="005D22E6">
        <w:rPr>
          <w:rFonts w:ascii="宋体" w:hAnsi="宋体" w:cs="宋体" w:hint="eastAsia"/>
          <w:sz w:val="24"/>
          <w:szCs w:val="24"/>
        </w:rPr>
        <w:t xml:space="preserve"> g；分离时选择氨水过量10 mL并保温5 min；选择滤纸类型为快速-</w:t>
      </w:r>
      <w:r w:rsidR="00F34655" w:rsidRPr="005D22E6">
        <w:rPr>
          <w:rFonts w:ascii="宋体" w:hAnsi="宋体" w:cs="宋体" w:hint="eastAsia"/>
          <w:sz w:val="24"/>
          <w:szCs w:val="24"/>
        </w:rPr>
        <w:t>定量</w:t>
      </w:r>
      <w:r w:rsidRPr="005D22E6">
        <w:rPr>
          <w:rFonts w:ascii="宋体" w:hAnsi="宋体" w:cs="宋体" w:hint="eastAsia"/>
          <w:sz w:val="24"/>
          <w:szCs w:val="24"/>
        </w:rPr>
        <w:t>；考虑到铜对铁的测定是干扰元素，故本方法选择钨蓝的褪去方式为滴加稀重铬酸钾溶液；滤液滤渣中铁的残留量很少，可忽略不计，因此本方法对滤液滤渣不进行回收测定；选择随同样品空白，简便易操作；干扰试验（Mo、W、Ni、Co、Mn、As、S、Sn、Ti、Au、Ag）均无干扰，但当试样中含Sb量为</w:t>
      </w:r>
      <w:r w:rsidR="00F34655" w:rsidRPr="005D22E6">
        <w:rPr>
          <w:rFonts w:ascii="宋体" w:hAnsi="宋体" w:cs="宋体" w:hint="eastAsia"/>
          <w:sz w:val="24"/>
          <w:szCs w:val="24"/>
        </w:rPr>
        <w:t>1</w:t>
      </w:r>
      <w:r w:rsidR="00034591" w:rsidRPr="005D22E6">
        <w:rPr>
          <w:rFonts w:ascii="宋体" w:hAnsi="宋体" w:cs="宋体"/>
          <w:sz w:val="24"/>
          <w:szCs w:val="24"/>
        </w:rPr>
        <w:t xml:space="preserve"> </w:t>
      </w:r>
      <w:r w:rsidR="00F34655" w:rsidRPr="005D22E6">
        <w:rPr>
          <w:rFonts w:ascii="宋体" w:hAnsi="宋体" w:cs="宋体" w:hint="eastAsia"/>
          <w:sz w:val="24"/>
          <w:szCs w:val="24"/>
        </w:rPr>
        <w:t>mg</w:t>
      </w:r>
      <w:r w:rsidRPr="005D22E6">
        <w:rPr>
          <w:rFonts w:ascii="宋体" w:hAnsi="宋体" w:cs="宋体" w:hint="eastAsia"/>
          <w:sz w:val="24"/>
          <w:szCs w:val="24"/>
        </w:rPr>
        <w:t xml:space="preserve">时对铁的测定存在正干扰，并选择以下方式除去锑的干扰：样品消解加入盐酸-硝酸-高氯酸-硫酸，当试样刚冒白烟时，取下稍冷，加入10 </w:t>
      </w:r>
      <w:r w:rsidRPr="005D22E6">
        <w:rPr>
          <w:rFonts w:ascii="宋体" w:hAnsi="宋体" w:cs="宋体"/>
          <w:sz w:val="24"/>
          <w:szCs w:val="24"/>
        </w:rPr>
        <w:t>mL</w:t>
      </w:r>
      <w:r w:rsidRPr="005D22E6">
        <w:rPr>
          <w:rFonts w:ascii="宋体" w:hAnsi="宋体" w:cs="宋体" w:hint="eastAsia"/>
          <w:sz w:val="24"/>
          <w:szCs w:val="24"/>
        </w:rPr>
        <w:t>氢溴酸，继续加</w:t>
      </w:r>
      <w:r w:rsidRPr="005D22E6">
        <w:rPr>
          <w:rFonts w:ascii="宋体" w:hAnsi="宋体" w:cs="宋体" w:hint="eastAsia"/>
          <w:sz w:val="24"/>
          <w:szCs w:val="24"/>
        </w:rPr>
        <w:lastRenderedPageBreak/>
        <w:t>热至刚冒白烟，取下稍冷，再次加入10 mL氢溴酸，加热至无棕色氢溴酸烟时，蒸干，其余步骤不变。</w:t>
      </w:r>
    </w:p>
    <w:p w14:paraId="0807CAE2"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5）</w:t>
      </w:r>
      <w:r w:rsidRPr="005D22E6">
        <w:rPr>
          <w:rFonts w:ascii="宋体" w:eastAsia="宋体" w:hAnsi="宋体" w:cs="Times New Roman"/>
          <w:b/>
          <w:sz w:val="24"/>
          <w:szCs w:val="24"/>
        </w:rPr>
        <w:t>分析结果的计算及表示</w:t>
      </w:r>
    </w:p>
    <w:p w14:paraId="2DFEFF58" w14:textId="77777777" w:rsidR="002A0DE8" w:rsidRPr="005D22E6" w:rsidRDefault="003B5264">
      <w:pPr>
        <w:spacing w:line="360" w:lineRule="auto"/>
        <w:ind w:firstLineChars="200" w:firstLine="480"/>
        <w:rPr>
          <w:rFonts w:ascii="Times New Roman" w:eastAsia="宋体" w:hAnsi="Times New Roman" w:cs="Times New Roman"/>
          <w:kern w:val="0"/>
          <w:sz w:val="24"/>
          <w:szCs w:val="24"/>
        </w:rPr>
      </w:pPr>
      <w:r w:rsidRPr="005D22E6">
        <w:rPr>
          <w:rFonts w:ascii="Times New Roman" w:eastAsia="宋体" w:hAnsi="宋体" w:cs="Times New Roman"/>
          <w:kern w:val="0"/>
          <w:sz w:val="24"/>
          <w:szCs w:val="24"/>
        </w:rPr>
        <w:t>分析结果按</w:t>
      </w:r>
      <w:r w:rsidRPr="005D22E6">
        <w:rPr>
          <w:rFonts w:ascii="Times New Roman" w:eastAsia="宋体" w:hAnsi="宋体" w:cs="Times New Roman" w:hint="eastAsia"/>
          <w:kern w:val="0"/>
          <w:sz w:val="24"/>
          <w:szCs w:val="24"/>
        </w:rPr>
        <w:t>文件</w:t>
      </w:r>
      <w:r w:rsidRPr="005D22E6">
        <w:rPr>
          <w:rFonts w:ascii="Times New Roman" w:eastAsia="宋体" w:hAnsi="宋体" w:cs="Times New Roman"/>
          <w:kern w:val="0"/>
          <w:sz w:val="24"/>
          <w:szCs w:val="24"/>
        </w:rPr>
        <w:t>正文所列的公式计算。计算结果以</w:t>
      </w:r>
      <w:r w:rsidRPr="005D22E6">
        <w:rPr>
          <w:rFonts w:ascii="Times New Roman" w:eastAsia="宋体" w:hAnsi="宋体" w:cs="Times New Roman" w:hint="eastAsia"/>
          <w:kern w:val="0"/>
          <w:sz w:val="24"/>
          <w:szCs w:val="24"/>
        </w:rPr>
        <w:t>％</w:t>
      </w:r>
      <w:r w:rsidRPr="005D22E6">
        <w:rPr>
          <w:rFonts w:ascii="Times New Roman" w:eastAsia="宋体" w:hAnsi="宋体" w:cs="Times New Roman"/>
          <w:kern w:val="0"/>
          <w:sz w:val="24"/>
          <w:szCs w:val="24"/>
        </w:rPr>
        <w:t>表示。</w:t>
      </w:r>
    </w:p>
    <w:p w14:paraId="2A969223" w14:textId="77777777" w:rsidR="002A0DE8" w:rsidRPr="005D22E6" w:rsidRDefault="003B5264">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sidRPr="005D22E6">
        <w:rPr>
          <w:rFonts w:ascii="宋体" w:eastAsia="宋体" w:hAnsi="宋体" w:cs="Times New Roman" w:hint="eastAsia"/>
          <w:b/>
          <w:sz w:val="24"/>
          <w:szCs w:val="24"/>
        </w:rPr>
        <w:t>6）</w:t>
      </w:r>
      <w:r w:rsidRPr="005D22E6">
        <w:rPr>
          <w:rFonts w:ascii="宋体" w:eastAsia="宋体" w:hAnsi="宋体" w:cs="Times New Roman"/>
          <w:b/>
          <w:sz w:val="24"/>
          <w:szCs w:val="24"/>
        </w:rPr>
        <w:t>精密度</w:t>
      </w:r>
    </w:p>
    <w:p w14:paraId="6D7100E9" w14:textId="77777777" w:rsidR="002A0DE8" w:rsidRPr="005D22E6" w:rsidRDefault="003B5264">
      <w:pPr>
        <w:spacing w:line="360" w:lineRule="auto"/>
        <w:ind w:firstLineChars="200" w:firstLine="480"/>
        <w:rPr>
          <w:rFonts w:ascii="Times New Roman" w:eastAsia="宋体" w:hAnsi="Times New Roman" w:cs="Times New Roman"/>
          <w:kern w:val="0"/>
          <w:sz w:val="24"/>
          <w:szCs w:val="24"/>
        </w:rPr>
      </w:pPr>
      <w:r w:rsidRPr="005D22E6">
        <w:rPr>
          <w:rFonts w:ascii="Times New Roman" w:eastAsia="宋体" w:hAnsi="宋体" w:cs="Times New Roman"/>
          <w:kern w:val="0"/>
          <w:sz w:val="24"/>
          <w:szCs w:val="24"/>
        </w:rPr>
        <w:t>本</w:t>
      </w:r>
      <w:r w:rsidRPr="005D22E6">
        <w:rPr>
          <w:rFonts w:ascii="Times New Roman" w:eastAsia="宋体" w:hAnsi="宋体" w:cs="Times New Roman" w:hint="eastAsia"/>
          <w:kern w:val="0"/>
          <w:sz w:val="24"/>
          <w:szCs w:val="24"/>
        </w:rPr>
        <w:t>文件</w:t>
      </w:r>
      <w:r w:rsidRPr="005D22E6">
        <w:rPr>
          <w:rFonts w:ascii="Times New Roman" w:eastAsia="宋体" w:hAnsi="宋体" w:cs="Times New Roman"/>
          <w:kern w:val="0"/>
          <w:sz w:val="24"/>
          <w:szCs w:val="24"/>
        </w:rPr>
        <w:t>起草的试验中，进行了精密度试验，试验结果令人满意。在数据统计后，获得了相应的重复性限和再现性限结果，对应的重复性限和再现性限结果组成了</w:t>
      </w:r>
      <w:r w:rsidRPr="005D22E6">
        <w:rPr>
          <w:rFonts w:ascii="Times New Roman" w:eastAsia="宋体" w:hAnsi="宋体" w:cs="Times New Roman" w:hint="eastAsia"/>
          <w:kern w:val="0"/>
          <w:sz w:val="24"/>
          <w:szCs w:val="24"/>
        </w:rPr>
        <w:t>文件</w:t>
      </w:r>
      <w:r w:rsidRPr="005D22E6">
        <w:rPr>
          <w:rFonts w:ascii="Times New Roman" w:eastAsia="宋体" w:hAnsi="宋体" w:cs="Times New Roman"/>
          <w:kern w:val="0"/>
          <w:sz w:val="24"/>
          <w:szCs w:val="24"/>
        </w:rPr>
        <w:t>正文</w:t>
      </w:r>
      <w:r w:rsidRPr="005D22E6">
        <w:rPr>
          <w:rFonts w:ascii="宋体" w:eastAsia="宋体" w:hAnsi="宋体" w:cs="Times New Roman"/>
          <w:kern w:val="0"/>
          <w:sz w:val="24"/>
          <w:szCs w:val="24"/>
        </w:rPr>
        <w:t>“精密度”</w:t>
      </w:r>
      <w:r w:rsidRPr="005D22E6">
        <w:rPr>
          <w:rFonts w:ascii="Times New Roman" w:eastAsia="宋体" w:hAnsi="宋体" w:cs="Times New Roman"/>
          <w:kern w:val="0"/>
          <w:sz w:val="24"/>
          <w:szCs w:val="24"/>
        </w:rPr>
        <w:t>条款，并作如下表达：</w:t>
      </w:r>
    </w:p>
    <w:p w14:paraId="233CCD54" w14:textId="77777777" w:rsidR="002A0DE8" w:rsidRPr="005D22E6" w:rsidRDefault="003B5264">
      <w:pPr>
        <w:spacing w:line="360" w:lineRule="auto"/>
        <w:ind w:firstLineChars="200" w:firstLine="480"/>
        <w:rPr>
          <w:rFonts w:ascii="Times New Roman" w:eastAsia="宋体" w:hAnsi="Times New Roman" w:cs="Times New Roman"/>
          <w:kern w:val="0"/>
          <w:sz w:val="24"/>
          <w:szCs w:val="24"/>
        </w:rPr>
      </w:pPr>
      <w:r w:rsidRPr="005D22E6">
        <w:rPr>
          <w:rFonts w:ascii="Times New Roman" w:eastAsia="宋体" w:hAnsi="宋体" w:cs="Times New Roman"/>
          <w:kern w:val="0"/>
          <w:sz w:val="24"/>
          <w:szCs w:val="24"/>
        </w:rPr>
        <w:t>重复性限：</w:t>
      </w:r>
      <w:r w:rsidRPr="005D22E6">
        <w:rPr>
          <w:rFonts w:ascii="Times New Roman" w:eastAsia="宋体" w:hAnsi="宋体" w:cs="Times New Roman"/>
          <w:sz w:val="24"/>
          <w:szCs w:val="24"/>
          <w:lang w:val="zh-CN"/>
        </w:rPr>
        <w:t>在重复性条件下获得的两次独立测试结果的测定值</w:t>
      </w:r>
      <w:r w:rsidRPr="005D22E6">
        <w:rPr>
          <w:rFonts w:ascii="Times New Roman" w:eastAsia="宋体" w:hAnsi="Times New Roman" w:cs="Times New Roman" w:hint="eastAsia"/>
          <w:sz w:val="24"/>
          <w:szCs w:val="24"/>
        </w:rPr>
        <w:t>，</w:t>
      </w:r>
      <w:r w:rsidRPr="005D22E6">
        <w:rPr>
          <w:rFonts w:ascii="Times New Roman" w:eastAsia="宋体" w:hAnsi="宋体" w:cs="Times New Roman"/>
          <w:sz w:val="24"/>
          <w:szCs w:val="24"/>
          <w:lang w:val="zh-CN"/>
        </w:rPr>
        <w:t>在以下给出的平均值范围内</w:t>
      </w:r>
      <w:r w:rsidRPr="005D22E6">
        <w:rPr>
          <w:rFonts w:ascii="Times New Roman" w:eastAsia="宋体" w:hAnsi="Times New Roman" w:cs="Times New Roman" w:hint="eastAsia"/>
          <w:sz w:val="24"/>
          <w:szCs w:val="24"/>
        </w:rPr>
        <w:t>，</w:t>
      </w:r>
      <w:r w:rsidRPr="005D22E6">
        <w:rPr>
          <w:rFonts w:ascii="Times New Roman" w:eastAsia="宋体" w:hAnsi="宋体" w:cs="Times New Roman"/>
          <w:sz w:val="24"/>
          <w:szCs w:val="24"/>
          <w:lang w:val="zh-CN"/>
        </w:rPr>
        <w:t>这两个测试结果的绝对差值不超过重复性限</w:t>
      </w:r>
      <w:r w:rsidRPr="005D22E6">
        <w:rPr>
          <w:rFonts w:ascii="Times New Roman" w:eastAsia="宋体" w:hAnsi="Times New Roman" w:cs="Times New Roman"/>
          <w:sz w:val="24"/>
          <w:szCs w:val="24"/>
        </w:rPr>
        <w:t>（</w:t>
      </w:r>
      <w:r w:rsidRPr="005D22E6">
        <w:rPr>
          <w:rFonts w:ascii="Times New Roman" w:eastAsia="宋体" w:hAnsi="Times New Roman" w:cs="Times New Roman"/>
          <w:i/>
          <w:sz w:val="24"/>
          <w:szCs w:val="24"/>
        </w:rPr>
        <w:t>r</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，超过重复性限</w:t>
      </w:r>
      <w:r w:rsidRPr="005D22E6">
        <w:rPr>
          <w:rFonts w:ascii="Times New Roman" w:eastAsia="宋体" w:hAnsi="Times New Roman" w:cs="Times New Roman"/>
          <w:sz w:val="24"/>
          <w:szCs w:val="24"/>
        </w:rPr>
        <w:t>（</w:t>
      </w:r>
      <w:r w:rsidRPr="005D22E6">
        <w:rPr>
          <w:rFonts w:ascii="Times New Roman" w:eastAsia="宋体" w:hAnsi="Times New Roman" w:cs="Times New Roman"/>
          <w:i/>
          <w:sz w:val="24"/>
          <w:szCs w:val="24"/>
        </w:rPr>
        <w:t>r</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的情况不超过</w:t>
      </w:r>
      <w:r w:rsidRPr="005D22E6">
        <w:rPr>
          <w:rFonts w:ascii="宋体" w:eastAsia="宋体" w:hAnsi="宋体" w:cs="Times New Roman"/>
          <w:sz w:val="24"/>
          <w:szCs w:val="24"/>
        </w:rPr>
        <w:t>5</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，重复性限（</w:t>
      </w:r>
      <w:r w:rsidRPr="005D22E6">
        <w:rPr>
          <w:rFonts w:ascii="Times New Roman" w:eastAsia="宋体" w:hAnsi="Times New Roman" w:cs="Times New Roman"/>
          <w:i/>
          <w:sz w:val="24"/>
          <w:szCs w:val="24"/>
        </w:rPr>
        <w:t>r</w:t>
      </w:r>
      <w:r w:rsidRPr="005D22E6">
        <w:rPr>
          <w:rFonts w:ascii="Times New Roman" w:eastAsia="宋体" w:hAnsi="宋体" w:cs="Times New Roman"/>
          <w:sz w:val="24"/>
          <w:szCs w:val="24"/>
          <w:lang w:val="zh-CN"/>
        </w:rPr>
        <w:t>）采用线性内插法求得。</w:t>
      </w:r>
    </w:p>
    <w:p w14:paraId="6E9DCB88" w14:textId="77777777" w:rsidR="002A0DE8" w:rsidRPr="005D22E6" w:rsidRDefault="003B5264">
      <w:pPr>
        <w:spacing w:line="360" w:lineRule="auto"/>
        <w:ind w:firstLineChars="200" w:firstLine="480"/>
        <w:rPr>
          <w:rFonts w:ascii="Times New Roman" w:eastAsia="宋体" w:hAnsi="宋体" w:cs="Times New Roman"/>
          <w:sz w:val="24"/>
          <w:szCs w:val="24"/>
          <w:lang w:val="zh-CN"/>
        </w:rPr>
      </w:pPr>
      <w:r w:rsidRPr="005D22E6">
        <w:rPr>
          <w:rFonts w:ascii="Times New Roman" w:eastAsia="宋体" w:hAnsi="宋体" w:cs="Times New Roman"/>
          <w:sz w:val="24"/>
          <w:szCs w:val="24"/>
          <w:lang w:val="zh-CN"/>
        </w:rPr>
        <w:t>再现性</w:t>
      </w:r>
      <w:r w:rsidRPr="005D22E6">
        <w:rPr>
          <w:rFonts w:ascii="Times New Roman" w:eastAsia="宋体" w:hAnsi="宋体" w:cs="Times New Roman"/>
          <w:sz w:val="24"/>
          <w:szCs w:val="24"/>
        </w:rPr>
        <w:t>：</w:t>
      </w:r>
      <w:r w:rsidRPr="005D22E6">
        <w:rPr>
          <w:rFonts w:ascii="Times New Roman" w:eastAsia="宋体" w:hAnsi="宋体" w:cs="Times New Roman"/>
          <w:sz w:val="24"/>
          <w:szCs w:val="24"/>
          <w:lang w:val="zh-CN"/>
        </w:rPr>
        <w:t>在再</w:t>
      </w:r>
      <w:r w:rsidRPr="005D22E6">
        <w:rPr>
          <w:rFonts w:ascii="Times New Roman" w:eastAsia="宋体" w:hAnsi="宋体" w:cs="Times New Roman" w:hint="eastAsia"/>
          <w:sz w:val="24"/>
          <w:szCs w:val="24"/>
          <w:lang w:val="zh-CN"/>
        </w:rPr>
        <w:t>现</w:t>
      </w:r>
      <w:r w:rsidRPr="005D22E6">
        <w:rPr>
          <w:rFonts w:ascii="Times New Roman" w:eastAsia="宋体" w:hAnsi="宋体" w:cs="Times New Roman"/>
          <w:sz w:val="24"/>
          <w:szCs w:val="24"/>
          <w:lang w:val="zh-CN"/>
        </w:rPr>
        <w:t>性条件下获得的两次独立测试结果的测定值</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在以下给出的平均值范围内</w:t>
      </w:r>
      <w:r w:rsidRPr="005D22E6">
        <w:rPr>
          <w:rFonts w:ascii="Times New Roman" w:eastAsia="宋体" w:hAnsi="Times New Roman" w:cs="Times New Roman" w:hint="eastAsia"/>
          <w:sz w:val="24"/>
          <w:szCs w:val="24"/>
        </w:rPr>
        <w:t>，</w:t>
      </w:r>
      <w:r w:rsidRPr="005D22E6">
        <w:rPr>
          <w:rFonts w:ascii="Times New Roman" w:eastAsia="宋体" w:hAnsi="宋体" w:cs="Times New Roman"/>
          <w:sz w:val="24"/>
          <w:szCs w:val="24"/>
          <w:lang w:val="zh-CN"/>
        </w:rPr>
        <w:t>这两个测试结果的绝对差值不超过再</w:t>
      </w:r>
      <w:r w:rsidRPr="005D22E6">
        <w:rPr>
          <w:rFonts w:ascii="Times New Roman" w:eastAsia="宋体" w:hAnsi="宋体" w:cs="Times New Roman" w:hint="eastAsia"/>
          <w:sz w:val="24"/>
          <w:szCs w:val="24"/>
          <w:lang w:val="zh-CN"/>
        </w:rPr>
        <w:t>现</w:t>
      </w:r>
      <w:r w:rsidRPr="005D22E6">
        <w:rPr>
          <w:rFonts w:ascii="Times New Roman" w:eastAsia="宋体" w:hAnsi="宋体" w:cs="Times New Roman"/>
          <w:sz w:val="24"/>
          <w:szCs w:val="24"/>
          <w:lang w:val="zh-CN"/>
        </w:rPr>
        <w:t>性限</w:t>
      </w:r>
      <w:r w:rsidRPr="005D22E6">
        <w:rPr>
          <w:rFonts w:ascii="Times New Roman" w:eastAsia="宋体" w:hAnsi="Times New Roman" w:cs="Times New Roman"/>
          <w:sz w:val="24"/>
          <w:szCs w:val="24"/>
        </w:rPr>
        <w:t>（</w:t>
      </w:r>
      <w:r w:rsidRPr="005D22E6">
        <w:rPr>
          <w:rFonts w:ascii="Times New Roman" w:eastAsia="宋体" w:hAnsi="Times New Roman" w:cs="Times New Roman"/>
          <w:i/>
          <w:sz w:val="24"/>
          <w:szCs w:val="24"/>
        </w:rPr>
        <w:t>R</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，超过再</w:t>
      </w:r>
      <w:r w:rsidRPr="005D22E6">
        <w:rPr>
          <w:rFonts w:ascii="Times New Roman" w:eastAsia="宋体" w:hAnsi="宋体" w:cs="Times New Roman" w:hint="eastAsia"/>
          <w:sz w:val="24"/>
          <w:szCs w:val="24"/>
          <w:lang w:val="zh-CN"/>
        </w:rPr>
        <w:t>现</w:t>
      </w:r>
      <w:r w:rsidRPr="005D22E6">
        <w:rPr>
          <w:rFonts w:ascii="Times New Roman" w:eastAsia="宋体" w:hAnsi="宋体" w:cs="Times New Roman"/>
          <w:sz w:val="24"/>
          <w:szCs w:val="24"/>
          <w:lang w:val="zh-CN"/>
        </w:rPr>
        <w:t>性限</w:t>
      </w:r>
      <w:r w:rsidRPr="005D22E6">
        <w:rPr>
          <w:rFonts w:ascii="Times New Roman" w:eastAsia="宋体" w:hAnsi="Times New Roman" w:cs="Times New Roman"/>
          <w:sz w:val="24"/>
          <w:szCs w:val="24"/>
        </w:rPr>
        <w:t>（</w:t>
      </w:r>
      <w:r w:rsidRPr="005D22E6">
        <w:rPr>
          <w:rFonts w:ascii="Times New Roman" w:eastAsia="宋体" w:hAnsi="Times New Roman" w:cs="Times New Roman"/>
          <w:i/>
          <w:sz w:val="24"/>
          <w:szCs w:val="24"/>
        </w:rPr>
        <w:t>R</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的情况不超过</w:t>
      </w:r>
      <w:r w:rsidRPr="005D22E6">
        <w:rPr>
          <w:rFonts w:ascii="宋体" w:eastAsia="宋体" w:hAnsi="宋体" w:cs="Times New Roman"/>
          <w:sz w:val="24"/>
          <w:szCs w:val="24"/>
        </w:rPr>
        <w:t>5</w:t>
      </w:r>
      <w:r w:rsidRPr="005D22E6">
        <w:rPr>
          <w:rFonts w:ascii="Times New Roman" w:eastAsia="宋体" w:hAnsi="Times New Roman" w:cs="Times New Roman"/>
          <w:sz w:val="24"/>
          <w:szCs w:val="24"/>
        </w:rPr>
        <w:t>％</w:t>
      </w:r>
      <w:r w:rsidRPr="005D22E6">
        <w:rPr>
          <w:rFonts w:ascii="Times New Roman" w:eastAsia="宋体" w:hAnsi="宋体" w:cs="Times New Roman"/>
          <w:sz w:val="24"/>
          <w:szCs w:val="24"/>
          <w:lang w:val="zh-CN"/>
        </w:rPr>
        <w:t>，再</w:t>
      </w:r>
      <w:r w:rsidRPr="005D22E6">
        <w:rPr>
          <w:rFonts w:ascii="Times New Roman" w:eastAsia="宋体" w:hAnsi="宋体" w:cs="Times New Roman" w:hint="eastAsia"/>
          <w:sz w:val="24"/>
          <w:szCs w:val="24"/>
          <w:lang w:val="zh-CN"/>
        </w:rPr>
        <w:t>现</w:t>
      </w:r>
      <w:r w:rsidRPr="005D22E6">
        <w:rPr>
          <w:rFonts w:ascii="Times New Roman" w:eastAsia="宋体" w:hAnsi="宋体" w:cs="Times New Roman"/>
          <w:sz w:val="24"/>
          <w:szCs w:val="24"/>
          <w:lang w:val="zh-CN"/>
        </w:rPr>
        <w:t>性限（</w:t>
      </w:r>
      <w:r w:rsidRPr="005D22E6">
        <w:rPr>
          <w:rFonts w:ascii="Times New Roman" w:eastAsia="宋体" w:hAnsi="Times New Roman" w:cs="Times New Roman"/>
          <w:i/>
          <w:sz w:val="24"/>
          <w:szCs w:val="24"/>
        </w:rPr>
        <w:t>R</w:t>
      </w:r>
      <w:r w:rsidRPr="005D22E6">
        <w:rPr>
          <w:rFonts w:ascii="Times New Roman" w:eastAsia="宋体" w:hAnsi="宋体" w:cs="Times New Roman"/>
          <w:sz w:val="24"/>
          <w:szCs w:val="24"/>
          <w:lang w:val="zh-CN"/>
        </w:rPr>
        <w:t>）采用线性内插法求得。</w:t>
      </w:r>
    </w:p>
    <w:p w14:paraId="36960D34" w14:textId="77777777" w:rsidR="002A0DE8" w:rsidRPr="005D22E6" w:rsidRDefault="003B5264" w:rsidP="00F34655">
      <w:pPr>
        <w:spacing w:beforeLines="100" w:before="312" w:afterLines="100" w:after="312" w:line="360" w:lineRule="auto"/>
        <w:outlineLvl w:val="0"/>
        <w:rPr>
          <w:rFonts w:ascii="黑体" w:eastAsia="黑体" w:hAnsi="黑体" w:cs="Times New Roman"/>
          <w:sz w:val="24"/>
          <w:szCs w:val="24"/>
        </w:rPr>
      </w:pPr>
      <w:r w:rsidRPr="005D22E6">
        <w:rPr>
          <w:rFonts w:ascii="宋体" w:hAnsi="宋体" w:hint="eastAsia"/>
          <w:b/>
          <w:bCs/>
          <w:sz w:val="24"/>
        </w:rPr>
        <w:t>三、主要试验（或验证）情况分析、综述报告，技术经济论证，预期的经济效果</w:t>
      </w:r>
    </w:p>
    <w:p w14:paraId="358553D7" w14:textId="77777777" w:rsidR="002A0DE8" w:rsidRPr="005D22E6" w:rsidRDefault="003B5264" w:rsidP="00F34655">
      <w:pPr>
        <w:spacing w:beforeLines="50" w:before="156" w:afterLines="50" w:after="156" w:line="360" w:lineRule="auto"/>
        <w:outlineLvl w:val="1"/>
        <w:rPr>
          <w:rFonts w:ascii="宋体" w:hAnsi="宋体"/>
          <w:b/>
          <w:bCs/>
          <w:sz w:val="24"/>
        </w:rPr>
      </w:pPr>
      <w:r w:rsidRPr="005D22E6">
        <w:rPr>
          <w:rFonts w:ascii="宋体" w:hAnsi="宋体"/>
          <w:b/>
          <w:bCs/>
          <w:sz w:val="24"/>
        </w:rPr>
        <w:t>3</w:t>
      </w:r>
      <w:r w:rsidRPr="005D22E6">
        <w:rPr>
          <w:rFonts w:ascii="宋体" w:hAnsi="宋体" w:hint="eastAsia"/>
          <w:b/>
          <w:bCs/>
          <w:sz w:val="24"/>
        </w:rPr>
        <w:t xml:space="preserve">.1 </w:t>
      </w:r>
      <w:r w:rsidRPr="005D22E6">
        <w:rPr>
          <w:rFonts w:ascii="宋体" w:hAnsi="宋体"/>
          <w:b/>
          <w:bCs/>
          <w:sz w:val="24"/>
        </w:rPr>
        <w:t xml:space="preserve"> </w:t>
      </w:r>
      <w:r w:rsidRPr="005D22E6">
        <w:rPr>
          <w:rFonts w:ascii="宋体" w:hAnsi="宋体" w:hint="eastAsia"/>
          <w:b/>
          <w:bCs/>
          <w:sz w:val="24"/>
        </w:rPr>
        <w:t>主要试验（或验证）等情况说明</w:t>
      </w:r>
    </w:p>
    <w:p w14:paraId="56EE31AD"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按照本文件条款要求，</w:t>
      </w:r>
      <w:r w:rsidRPr="005D22E6">
        <w:rPr>
          <w:rFonts w:ascii="Times New Roman" w:eastAsia="宋体" w:hAnsi="宋体" w:cs="Times New Roman" w:hint="eastAsia"/>
          <w:sz w:val="24"/>
          <w:szCs w:val="24"/>
          <w:lang w:val="zh-CN"/>
        </w:rPr>
        <w:t>组织</w:t>
      </w:r>
      <w:r w:rsidRPr="005D22E6">
        <w:rPr>
          <w:rFonts w:ascii="Times New Roman" w:eastAsia="宋体" w:hAnsi="宋体" w:cs="Times New Roman" w:hint="eastAsia"/>
          <w:kern w:val="0"/>
          <w:sz w:val="24"/>
          <w:szCs w:val="24"/>
        </w:rPr>
        <w:t>实施了相关重要的试验项目进行验证，实施多个条件试验，并经过多方验证。经过以上试验全面验证文件编写条款的适用性和可行性，验证结果来看，满足文件编写要求。</w:t>
      </w:r>
    </w:p>
    <w:p w14:paraId="0AF49A22" w14:textId="77777777" w:rsidR="002A0DE8" w:rsidRPr="005D22E6" w:rsidRDefault="003B5264" w:rsidP="00F34655">
      <w:pPr>
        <w:spacing w:beforeLines="50" w:before="156" w:afterLines="50" w:after="156" w:line="360" w:lineRule="auto"/>
        <w:outlineLvl w:val="2"/>
        <w:rPr>
          <w:rFonts w:ascii="宋体" w:hAnsi="宋体"/>
          <w:b/>
          <w:bCs/>
          <w:sz w:val="24"/>
        </w:rPr>
      </w:pPr>
      <w:r w:rsidRPr="005D22E6">
        <w:rPr>
          <w:rFonts w:ascii="宋体" w:hAnsi="宋体"/>
          <w:b/>
          <w:bCs/>
          <w:sz w:val="24"/>
        </w:rPr>
        <w:t>3</w:t>
      </w:r>
      <w:r w:rsidRPr="005D22E6">
        <w:rPr>
          <w:rFonts w:ascii="宋体" w:hAnsi="宋体" w:hint="eastAsia"/>
          <w:b/>
          <w:bCs/>
          <w:sz w:val="24"/>
        </w:rPr>
        <w:t>.</w:t>
      </w:r>
      <w:r w:rsidRPr="005D22E6">
        <w:rPr>
          <w:rFonts w:ascii="宋体" w:hAnsi="宋体"/>
          <w:b/>
          <w:bCs/>
          <w:sz w:val="24"/>
        </w:rPr>
        <w:t>1.</w:t>
      </w:r>
      <w:r w:rsidRPr="005D22E6">
        <w:rPr>
          <w:rFonts w:ascii="宋体" w:hAnsi="宋体" w:hint="eastAsia"/>
          <w:b/>
          <w:bCs/>
          <w:sz w:val="24"/>
        </w:rPr>
        <w:t xml:space="preserve">1 </w:t>
      </w:r>
      <w:r w:rsidRPr="005D22E6">
        <w:rPr>
          <w:rFonts w:ascii="宋体" w:hAnsi="宋体"/>
          <w:b/>
          <w:bCs/>
          <w:sz w:val="24"/>
        </w:rPr>
        <w:t xml:space="preserve"> 分析方法精密度准确度试验</w:t>
      </w:r>
    </w:p>
    <w:p w14:paraId="64C9CD7C" w14:textId="77777777" w:rsidR="002A0DE8" w:rsidRPr="005D22E6" w:rsidRDefault="003B5264">
      <w:pPr>
        <w:spacing w:line="360" w:lineRule="auto"/>
        <w:ind w:firstLineChars="200" w:firstLine="480"/>
        <w:rPr>
          <w:rFonts w:ascii="宋体" w:eastAsia="宋体" w:hAnsi="宋体"/>
          <w:sz w:val="24"/>
        </w:rPr>
      </w:pPr>
      <w:r w:rsidRPr="005D22E6">
        <w:rPr>
          <w:rFonts w:ascii="宋体" w:eastAsia="宋体" w:hAnsi="宋体"/>
          <w:sz w:val="24"/>
        </w:rPr>
        <w:t>由于</w:t>
      </w:r>
      <w:r w:rsidRPr="005D22E6">
        <w:rPr>
          <w:rFonts w:ascii="宋体" w:eastAsia="宋体" w:hAnsi="宋体" w:hint="eastAsia"/>
          <w:sz w:val="24"/>
        </w:rPr>
        <w:t>无金精矿中含铁</w:t>
      </w:r>
      <w:r w:rsidRPr="005D22E6">
        <w:rPr>
          <w:rFonts w:ascii="宋体" w:eastAsia="宋体" w:hAnsi="宋体"/>
          <w:sz w:val="24"/>
        </w:rPr>
        <w:t>国家标准物质</w:t>
      </w:r>
      <w:r w:rsidRPr="005D22E6">
        <w:rPr>
          <w:rFonts w:ascii="宋体" w:eastAsia="宋体" w:hAnsi="宋体" w:hint="eastAsia"/>
          <w:sz w:val="24"/>
        </w:rPr>
        <w:t>，</w:t>
      </w:r>
      <w:r w:rsidRPr="005D22E6">
        <w:rPr>
          <w:rFonts w:ascii="宋体" w:eastAsia="宋体" w:hAnsi="宋体"/>
          <w:sz w:val="24"/>
        </w:rPr>
        <w:t>因此通过</w:t>
      </w:r>
      <w:r w:rsidRPr="005D22E6">
        <w:rPr>
          <w:rFonts w:ascii="宋体" w:eastAsia="宋体" w:hAnsi="宋体" w:hint="eastAsia"/>
          <w:sz w:val="24"/>
        </w:rPr>
        <w:t>配制多</w:t>
      </w:r>
      <w:r w:rsidRPr="005D22E6">
        <w:rPr>
          <w:rFonts w:ascii="宋体" w:eastAsia="宋体" w:hAnsi="宋体"/>
          <w:sz w:val="24"/>
        </w:rPr>
        <w:t>个</w:t>
      </w:r>
      <w:r w:rsidRPr="005D22E6">
        <w:rPr>
          <w:rFonts w:ascii="宋体" w:eastAsia="宋体" w:hAnsi="宋体" w:hint="eastAsia"/>
          <w:sz w:val="24"/>
        </w:rPr>
        <w:t>试验</w:t>
      </w:r>
      <w:r w:rsidRPr="005D22E6">
        <w:rPr>
          <w:rFonts w:ascii="宋体" w:eastAsia="宋体" w:hAnsi="宋体"/>
          <w:sz w:val="24"/>
        </w:rPr>
        <w:t>样品，并对</w:t>
      </w:r>
      <w:r w:rsidRPr="005D22E6">
        <w:rPr>
          <w:rFonts w:ascii="宋体" w:eastAsia="宋体" w:hAnsi="宋体" w:hint="eastAsia"/>
          <w:sz w:val="24"/>
        </w:rPr>
        <w:t>多个试验</w:t>
      </w:r>
      <w:r w:rsidRPr="005D22E6">
        <w:rPr>
          <w:rFonts w:ascii="宋体" w:eastAsia="宋体" w:hAnsi="宋体"/>
          <w:sz w:val="24"/>
        </w:rPr>
        <w:t>样品进行了均匀性试验</w:t>
      </w:r>
      <w:r w:rsidRPr="005D22E6">
        <w:rPr>
          <w:rFonts w:ascii="宋体" w:eastAsia="宋体" w:hAnsi="宋体" w:hint="eastAsia"/>
          <w:sz w:val="24"/>
        </w:rPr>
        <w:t>、</w:t>
      </w:r>
      <w:r w:rsidRPr="005D22E6">
        <w:rPr>
          <w:rFonts w:ascii="宋体" w:eastAsia="宋体" w:hAnsi="宋体" w:cs="Times New Roman"/>
          <w:sz w:val="24"/>
          <w:szCs w:val="24"/>
          <w:lang w:val="zh-CN"/>
        </w:rPr>
        <w:t>粒度分析</w:t>
      </w:r>
      <w:r w:rsidRPr="005D22E6">
        <w:rPr>
          <w:rFonts w:ascii="宋体" w:eastAsia="宋体" w:hAnsi="宋体"/>
          <w:sz w:val="24"/>
        </w:rPr>
        <w:t>。按优化好的</w:t>
      </w:r>
      <w:r w:rsidRPr="005D22E6">
        <w:rPr>
          <w:rFonts w:ascii="Times New Roman" w:eastAsia="宋体" w:hAnsi="宋体" w:cs="Times New Roman"/>
          <w:kern w:val="0"/>
          <w:sz w:val="24"/>
          <w:szCs w:val="24"/>
        </w:rPr>
        <w:t>仪器</w:t>
      </w:r>
      <w:r w:rsidRPr="005D22E6">
        <w:rPr>
          <w:rFonts w:ascii="宋体" w:eastAsia="宋体" w:hAnsi="宋体"/>
          <w:sz w:val="24"/>
        </w:rPr>
        <w:t>和试验条件对每个样品平行测定4次，并进行了样品</w:t>
      </w:r>
      <w:r w:rsidRPr="005D22E6">
        <w:rPr>
          <w:rFonts w:ascii="宋体" w:eastAsia="宋体" w:hAnsi="宋体" w:hint="eastAsia"/>
          <w:sz w:val="24"/>
        </w:rPr>
        <w:t>加标回收率和方法比对</w:t>
      </w:r>
      <w:r w:rsidRPr="005D22E6">
        <w:rPr>
          <w:rFonts w:ascii="宋体" w:eastAsia="宋体" w:hAnsi="宋体"/>
          <w:sz w:val="24"/>
        </w:rPr>
        <w:t>试验，</w:t>
      </w:r>
      <w:r w:rsidRPr="005D22E6">
        <w:rPr>
          <w:rFonts w:ascii="宋体" w:eastAsia="宋体" w:hAnsi="宋体" w:hint="eastAsia"/>
          <w:sz w:val="24"/>
        </w:rPr>
        <w:t>同时采用其他含铁矿物的国家标准样品衡量方法准确度</w:t>
      </w:r>
      <w:r w:rsidRPr="005D22E6">
        <w:rPr>
          <w:rFonts w:ascii="宋体" w:eastAsia="宋体" w:hAnsi="宋体"/>
          <w:sz w:val="24"/>
        </w:rPr>
        <w:t>；分别计算每一个样品4次测定的相对标准偏差（RSD）来衡量方法的精密度。</w:t>
      </w:r>
    </w:p>
    <w:p w14:paraId="2CDD04A9" w14:textId="77777777" w:rsidR="002A0DE8" w:rsidRPr="005D22E6" w:rsidRDefault="003B5264" w:rsidP="00F34655">
      <w:pPr>
        <w:spacing w:beforeLines="50" w:before="156" w:afterLines="50" w:after="156" w:line="360" w:lineRule="auto"/>
        <w:outlineLvl w:val="2"/>
        <w:rPr>
          <w:rFonts w:hAnsi="宋体"/>
          <w:b/>
          <w:sz w:val="24"/>
        </w:rPr>
      </w:pPr>
      <w:r w:rsidRPr="005D22E6">
        <w:rPr>
          <w:rFonts w:ascii="宋体" w:hAnsi="宋体"/>
          <w:b/>
          <w:bCs/>
          <w:sz w:val="24"/>
        </w:rPr>
        <w:t>3</w:t>
      </w:r>
      <w:r w:rsidRPr="005D22E6">
        <w:rPr>
          <w:rFonts w:ascii="宋体" w:hAnsi="宋体" w:hint="eastAsia"/>
          <w:b/>
          <w:bCs/>
          <w:sz w:val="24"/>
        </w:rPr>
        <w:t>.</w:t>
      </w:r>
      <w:r w:rsidRPr="005D22E6">
        <w:rPr>
          <w:rFonts w:ascii="宋体" w:hAnsi="宋体"/>
          <w:b/>
          <w:bCs/>
          <w:sz w:val="24"/>
        </w:rPr>
        <w:t>1.2</w:t>
      </w:r>
      <w:r w:rsidRPr="005D22E6">
        <w:rPr>
          <w:rFonts w:ascii="宋体" w:hAnsi="宋体" w:hint="eastAsia"/>
          <w:b/>
          <w:bCs/>
          <w:sz w:val="24"/>
        </w:rPr>
        <w:t xml:space="preserve"> </w:t>
      </w:r>
      <w:r w:rsidRPr="005D22E6">
        <w:rPr>
          <w:rFonts w:ascii="宋体" w:hAnsi="宋体"/>
          <w:b/>
          <w:bCs/>
          <w:sz w:val="24"/>
        </w:rPr>
        <w:t xml:space="preserve"> 方法精密度协作试验</w:t>
      </w:r>
    </w:p>
    <w:p w14:paraId="36088F7A" w14:textId="77777777" w:rsidR="002A0DE8" w:rsidRPr="005D22E6" w:rsidRDefault="003B5264">
      <w:pPr>
        <w:spacing w:line="360" w:lineRule="auto"/>
        <w:ind w:firstLineChars="200" w:firstLine="480"/>
        <w:rPr>
          <w:rFonts w:ascii="宋体" w:eastAsia="宋体" w:hAnsi="宋体"/>
          <w:sz w:val="24"/>
        </w:rPr>
      </w:pPr>
      <w:r w:rsidRPr="005D22E6">
        <w:rPr>
          <w:rFonts w:ascii="宋体" w:eastAsia="宋体" w:hAnsi="宋体"/>
          <w:sz w:val="24"/>
        </w:rPr>
        <w:lastRenderedPageBreak/>
        <w:t>按照G</w:t>
      </w:r>
      <w:r w:rsidRPr="005D22E6">
        <w:rPr>
          <w:rFonts w:ascii="宋体" w:eastAsia="宋体" w:hAnsi="宋体" w:cs="Times New Roman"/>
          <w:sz w:val="24"/>
        </w:rPr>
        <w:t>B/T 6379.2</w:t>
      </w:r>
      <w:r w:rsidRPr="005D22E6">
        <w:rPr>
          <w:rFonts w:ascii="宋体" w:eastAsia="宋体" w:hAnsi="宋体" w:cs="Times New Roman" w:hint="eastAsia"/>
          <w:sz w:val="24"/>
        </w:rPr>
        <w:t>—</w:t>
      </w:r>
      <w:r w:rsidRPr="005D22E6">
        <w:rPr>
          <w:rFonts w:ascii="宋体" w:eastAsia="宋体" w:hAnsi="宋体" w:cs="Times New Roman"/>
          <w:sz w:val="24"/>
        </w:rPr>
        <w:t>2004《测量方法与结果的准确度</w:t>
      </w:r>
      <w:r w:rsidRPr="005D22E6">
        <w:rPr>
          <w:rFonts w:ascii="Times New Roman" w:eastAsia="宋体" w:hAnsi="宋体" w:cs="Times New Roman"/>
          <w:sz w:val="24"/>
          <w:szCs w:val="24"/>
        </w:rPr>
        <w:t>（正确度与精密度）</w:t>
      </w:r>
      <w:r w:rsidRPr="005D22E6">
        <w:rPr>
          <w:rFonts w:ascii="宋体" w:eastAsia="宋体" w:hAnsi="宋体" w:cs="Times New Roman" w:hint="eastAsia"/>
          <w:sz w:val="24"/>
        </w:rPr>
        <w:t xml:space="preserve"> </w:t>
      </w:r>
      <w:r w:rsidRPr="005D22E6">
        <w:rPr>
          <w:rFonts w:ascii="宋体" w:eastAsia="宋体" w:hAnsi="宋体" w:cs="Times New Roman"/>
          <w:sz w:val="24"/>
        </w:rPr>
        <w:t xml:space="preserve"> 第</w:t>
      </w:r>
      <w:r w:rsidRPr="005D22E6">
        <w:rPr>
          <w:rFonts w:ascii="宋体" w:eastAsia="宋体" w:hAnsi="宋体" w:cs="Times New Roman" w:hint="eastAsia"/>
          <w:sz w:val="24"/>
        </w:rPr>
        <w:t>2</w:t>
      </w:r>
      <w:r w:rsidRPr="005D22E6">
        <w:rPr>
          <w:rFonts w:ascii="宋体" w:eastAsia="宋体" w:hAnsi="宋体" w:cs="Times New Roman"/>
          <w:sz w:val="24"/>
        </w:rPr>
        <w:t>部分：确定标准测量方法重复性与再现性的基本方法》、GB/T 6379.4</w:t>
      </w:r>
      <w:r w:rsidRPr="005D22E6">
        <w:rPr>
          <w:rFonts w:ascii="宋体" w:eastAsia="宋体" w:hAnsi="宋体" w:cs="Times New Roman" w:hint="eastAsia"/>
          <w:sz w:val="24"/>
        </w:rPr>
        <w:t>—</w:t>
      </w:r>
      <w:r w:rsidRPr="005D22E6">
        <w:rPr>
          <w:rFonts w:ascii="宋体" w:eastAsia="宋体" w:hAnsi="宋体" w:cs="Times New Roman"/>
          <w:sz w:val="24"/>
        </w:rPr>
        <w:t>2006</w:t>
      </w:r>
      <w:r w:rsidRPr="005D22E6">
        <w:rPr>
          <w:rFonts w:ascii="Times New Roman" w:eastAsia="宋体" w:hAnsi="宋体" w:cs="Times New Roman"/>
          <w:kern w:val="0"/>
          <w:sz w:val="24"/>
          <w:szCs w:val="24"/>
        </w:rPr>
        <w:t>《测量方法与结果的准确度（正确度与精密度）</w:t>
      </w:r>
      <w:r w:rsidRPr="005D22E6">
        <w:rPr>
          <w:rFonts w:ascii="Times New Roman" w:eastAsia="宋体" w:hAnsi="宋体" w:cs="Times New Roman" w:hint="eastAsia"/>
          <w:kern w:val="0"/>
          <w:sz w:val="24"/>
          <w:szCs w:val="24"/>
        </w:rPr>
        <w:t xml:space="preserve"> </w:t>
      </w:r>
      <w:r w:rsidRPr="005D22E6">
        <w:rPr>
          <w:rFonts w:ascii="Times New Roman" w:eastAsia="宋体" w:hAnsi="宋体" w:cs="Times New Roman"/>
          <w:kern w:val="0"/>
          <w:sz w:val="24"/>
          <w:szCs w:val="24"/>
        </w:rPr>
        <w:t xml:space="preserve"> </w:t>
      </w:r>
      <w:r w:rsidRPr="005D22E6">
        <w:rPr>
          <w:rFonts w:ascii="Times New Roman" w:eastAsia="宋体" w:hAnsi="宋体" w:cs="Times New Roman"/>
          <w:kern w:val="0"/>
          <w:sz w:val="24"/>
          <w:szCs w:val="24"/>
        </w:rPr>
        <w:t>第</w:t>
      </w:r>
      <w:r w:rsidRPr="005D22E6">
        <w:rPr>
          <w:rFonts w:ascii="Times New Roman" w:eastAsia="宋体" w:hAnsi="宋体" w:cs="Times New Roman"/>
          <w:kern w:val="0"/>
          <w:sz w:val="24"/>
          <w:szCs w:val="24"/>
        </w:rPr>
        <w:t>8</w:t>
      </w:r>
      <w:r w:rsidRPr="005D22E6">
        <w:rPr>
          <w:rFonts w:ascii="Times New Roman" w:eastAsia="宋体" w:hAnsi="宋体" w:cs="Times New Roman"/>
          <w:kern w:val="0"/>
          <w:sz w:val="24"/>
          <w:szCs w:val="24"/>
        </w:rPr>
        <w:t>部分：确定标准测量方法正确</w:t>
      </w:r>
      <w:r w:rsidRPr="005D22E6">
        <w:rPr>
          <w:rFonts w:ascii="Times New Roman" w:eastAsia="宋体" w:hAnsi="宋体"/>
          <w:kern w:val="0"/>
          <w:sz w:val="24"/>
          <w:szCs w:val="24"/>
        </w:rPr>
        <w:t>度的基本方法》</w:t>
      </w:r>
      <w:r w:rsidRPr="005D22E6">
        <w:rPr>
          <w:rFonts w:ascii="宋体" w:eastAsia="宋体" w:hAnsi="宋体"/>
          <w:sz w:val="24"/>
        </w:rPr>
        <w:t>的要求，邀请了</w:t>
      </w:r>
      <w:r w:rsidRPr="005D22E6">
        <w:rPr>
          <w:rFonts w:ascii="宋体" w:eastAsia="宋体" w:hAnsi="宋体" w:hint="eastAsia"/>
          <w:sz w:val="24"/>
        </w:rPr>
        <w:t>8</w:t>
      </w:r>
      <w:r w:rsidRPr="005D22E6">
        <w:rPr>
          <w:rFonts w:ascii="宋体" w:eastAsia="宋体" w:hAnsi="宋体"/>
          <w:sz w:val="24"/>
        </w:rPr>
        <w:t>家</w:t>
      </w:r>
      <w:r w:rsidRPr="005D22E6">
        <w:rPr>
          <w:rFonts w:ascii="宋体" w:eastAsia="宋体" w:hAnsi="宋体" w:hint="eastAsia"/>
          <w:sz w:val="24"/>
        </w:rPr>
        <w:t>单位</w:t>
      </w:r>
      <w:r w:rsidRPr="005D22E6">
        <w:rPr>
          <w:rFonts w:ascii="宋体" w:eastAsia="宋体" w:hAnsi="宋体"/>
          <w:sz w:val="24"/>
        </w:rPr>
        <w:t>依据提供的标准分析方法草案，对上述标准物质分别进行</w:t>
      </w:r>
      <w:r w:rsidRPr="005D22E6">
        <w:rPr>
          <w:rFonts w:ascii="宋体" w:eastAsia="宋体" w:hAnsi="宋体" w:hint="eastAsia"/>
          <w:sz w:val="24"/>
        </w:rPr>
        <w:t>8</w:t>
      </w:r>
      <w:r w:rsidRPr="005D22E6">
        <w:rPr>
          <w:rFonts w:ascii="宋体" w:eastAsia="宋体" w:hAnsi="宋体"/>
          <w:sz w:val="24"/>
        </w:rPr>
        <w:t>次独立测定。样品全部以</w:t>
      </w:r>
      <w:r w:rsidRPr="005D22E6">
        <w:rPr>
          <w:rFonts w:ascii="宋体" w:eastAsia="宋体" w:hAnsi="宋体" w:hint="eastAsia"/>
          <w:sz w:val="24"/>
        </w:rPr>
        <w:t>编码</w:t>
      </w:r>
      <w:r w:rsidRPr="005D22E6">
        <w:rPr>
          <w:rFonts w:ascii="宋体" w:eastAsia="宋体" w:hAnsi="宋体"/>
          <w:sz w:val="24"/>
        </w:rPr>
        <w:t>的形式分发到参加精密度协作试验的</w:t>
      </w:r>
      <w:r w:rsidRPr="005D22E6">
        <w:rPr>
          <w:rFonts w:ascii="宋体" w:eastAsia="宋体" w:hAnsi="宋体" w:hint="eastAsia"/>
          <w:sz w:val="24"/>
        </w:rPr>
        <w:t>单位</w:t>
      </w:r>
      <w:r w:rsidRPr="005D22E6">
        <w:rPr>
          <w:rFonts w:ascii="宋体" w:eastAsia="宋体" w:hAnsi="宋体"/>
          <w:sz w:val="24"/>
        </w:rPr>
        <w:t>。依据相关标准规范要求，将检测数据汇总、统计分析，计算方法的重复性限和再现性限。</w:t>
      </w:r>
    </w:p>
    <w:p w14:paraId="01750B20" w14:textId="77777777" w:rsidR="002A0DE8" w:rsidRPr="005D22E6" w:rsidRDefault="003B5264">
      <w:pPr>
        <w:spacing w:line="360" w:lineRule="auto"/>
        <w:ind w:firstLineChars="200" w:firstLine="480"/>
        <w:rPr>
          <w:rFonts w:ascii="宋体" w:eastAsia="宋体" w:hAnsi="宋体"/>
          <w:sz w:val="24"/>
          <w:szCs w:val="24"/>
        </w:rPr>
      </w:pPr>
      <w:r w:rsidRPr="005D22E6">
        <w:rPr>
          <w:rFonts w:ascii="宋体" w:eastAsia="宋体" w:hAnsi="宋体"/>
          <w:sz w:val="24"/>
          <w:szCs w:val="24"/>
        </w:rPr>
        <w:t>原始数据列于表2至表</w:t>
      </w:r>
      <w:r w:rsidRPr="005D22E6">
        <w:rPr>
          <w:rFonts w:ascii="宋体" w:eastAsia="宋体" w:hAnsi="宋体" w:hint="eastAsia"/>
          <w:sz w:val="24"/>
          <w:szCs w:val="24"/>
        </w:rPr>
        <w:t>3</w:t>
      </w:r>
      <w:r w:rsidRPr="005D22E6">
        <w:rPr>
          <w:rFonts w:ascii="宋体" w:eastAsia="宋体" w:hAnsi="宋体"/>
          <w:sz w:val="24"/>
          <w:szCs w:val="24"/>
        </w:rPr>
        <w:t>中，以</w:t>
      </w:r>
      <w:r w:rsidRPr="005D22E6">
        <w:rPr>
          <w:rFonts w:ascii="宋体" w:eastAsia="宋体" w:hAnsi="宋体" w:hint="eastAsia"/>
          <w:sz w:val="24"/>
          <w:szCs w:val="24"/>
        </w:rPr>
        <w:t>百分数</w:t>
      </w:r>
      <w:r w:rsidRPr="005D22E6">
        <w:rPr>
          <w:rFonts w:ascii="宋体" w:eastAsia="宋体" w:hAnsi="宋体"/>
          <w:sz w:val="24"/>
          <w:szCs w:val="24"/>
        </w:rPr>
        <w:t>（</w:t>
      </w:r>
      <w:r w:rsidRPr="005D22E6">
        <w:rPr>
          <w:rFonts w:ascii="宋体" w:eastAsia="宋体" w:hAnsi="宋体" w:hint="eastAsia"/>
          <w:sz w:val="24"/>
          <w:szCs w:val="24"/>
        </w:rPr>
        <w:t>％</w:t>
      </w:r>
      <w:r w:rsidRPr="005D22E6">
        <w:rPr>
          <w:rFonts w:ascii="宋体" w:eastAsia="宋体" w:hAnsi="宋体"/>
          <w:sz w:val="24"/>
          <w:szCs w:val="24"/>
        </w:rPr>
        <w:t>）表示。</w:t>
      </w:r>
    </w:p>
    <w:p w14:paraId="023868E6" w14:textId="77777777" w:rsidR="002A0DE8" w:rsidRPr="005D22E6" w:rsidRDefault="003B5264" w:rsidP="00F34655">
      <w:pPr>
        <w:spacing w:beforeLines="50" w:before="156" w:afterLines="50" w:after="156" w:line="360" w:lineRule="auto"/>
        <w:jc w:val="center"/>
        <w:rPr>
          <w:rFonts w:ascii="黑体" w:eastAsia="黑体" w:hAnsi="黑体" w:cs="宋体"/>
          <w:b/>
          <w:sz w:val="24"/>
          <w:szCs w:val="24"/>
        </w:rPr>
      </w:pPr>
      <w:r w:rsidRPr="005D22E6">
        <w:rPr>
          <w:rFonts w:ascii="黑体" w:eastAsia="黑体" w:hAnsi="黑体" w:cs="宋体"/>
          <w:b/>
          <w:sz w:val="24"/>
          <w:szCs w:val="24"/>
        </w:rPr>
        <w:t>表</w:t>
      </w:r>
      <w:r w:rsidRPr="005D22E6">
        <w:rPr>
          <w:rFonts w:ascii="黑体" w:eastAsia="黑体" w:hAnsi="黑体" w:cs="宋体" w:hint="eastAsia"/>
          <w:b/>
          <w:sz w:val="24"/>
          <w:szCs w:val="24"/>
        </w:rPr>
        <w:t xml:space="preserve">2  </w:t>
      </w:r>
      <w:r w:rsidRPr="005D22E6">
        <w:rPr>
          <w:rFonts w:ascii="黑体" w:eastAsia="黑体" w:hAnsi="黑体" w:cs="宋体"/>
          <w:b/>
          <w:sz w:val="24"/>
          <w:szCs w:val="24"/>
        </w:rPr>
        <w:t>原始数据表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97"/>
        <w:gridCol w:w="1098"/>
        <w:gridCol w:w="1098"/>
        <w:gridCol w:w="1098"/>
        <w:gridCol w:w="1103"/>
        <w:gridCol w:w="1012"/>
        <w:gridCol w:w="992"/>
      </w:tblGrid>
      <w:tr w:rsidR="002A0DE8" w:rsidRPr="005D22E6" w14:paraId="07967DE9" w14:textId="77777777" w:rsidTr="00992756">
        <w:trPr>
          <w:trHeight w:val="454"/>
          <w:jc w:val="center"/>
        </w:trPr>
        <w:tc>
          <w:tcPr>
            <w:tcW w:w="832" w:type="dxa"/>
            <w:vMerge w:val="restart"/>
            <w:shd w:val="clear" w:color="auto" w:fill="auto"/>
            <w:vAlign w:val="center"/>
          </w:tcPr>
          <w:p w14:paraId="491D01B8" w14:textId="77777777" w:rsidR="002A0DE8" w:rsidRPr="005D22E6" w:rsidRDefault="003B5264">
            <w:pPr>
              <w:jc w:val="center"/>
              <w:rPr>
                <w:rFonts w:ascii="Times New Roman" w:hAnsi="Times New Roman" w:cs="Times New Roman"/>
                <w:szCs w:val="21"/>
              </w:rPr>
            </w:pPr>
            <w:bookmarkStart w:id="6" w:name="_Hlk76477998"/>
            <w:r w:rsidRPr="005D22E6">
              <w:rPr>
                <w:rFonts w:ascii="Times New Roman" w:hAnsi="Times New Roman" w:cs="Times New Roman"/>
                <w:szCs w:val="21"/>
              </w:rPr>
              <w:t>实验室</w:t>
            </w:r>
            <w:r w:rsidRPr="005D22E6">
              <w:rPr>
                <w:rFonts w:ascii="Times New Roman" w:hAnsi="Times New Roman" w:cs="Times New Roman"/>
                <w:szCs w:val="21"/>
              </w:rPr>
              <w:t>i</w:t>
            </w:r>
          </w:p>
        </w:tc>
        <w:tc>
          <w:tcPr>
            <w:tcW w:w="7498" w:type="dxa"/>
            <w:gridSpan w:val="7"/>
            <w:tcBorders>
              <w:bottom w:val="single" w:sz="4" w:space="0" w:color="auto"/>
            </w:tcBorders>
            <w:shd w:val="clear" w:color="auto" w:fill="auto"/>
            <w:vAlign w:val="center"/>
          </w:tcPr>
          <w:p w14:paraId="78D7BDBA"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t>水平</w:t>
            </w:r>
            <w:r w:rsidRPr="005D22E6">
              <w:rPr>
                <w:rFonts w:ascii="Times New Roman" w:hAnsi="Times New Roman" w:cs="Times New Roman"/>
                <w:szCs w:val="21"/>
              </w:rPr>
              <w:t>j</w:t>
            </w:r>
          </w:p>
        </w:tc>
      </w:tr>
      <w:tr w:rsidR="002A0DE8" w:rsidRPr="005D22E6" w14:paraId="3011A805" w14:textId="77777777" w:rsidTr="00992756">
        <w:trPr>
          <w:trHeight w:val="454"/>
          <w:jc w:val="center"/>
        </w:trPr>
        <w:tc>
          <w:tcPr>
            <w:tcW w:w="832" w:type="dxa"/>
            <w:vMerge/>
            <w:tcBorders>
              <w:bottom w:val="single" w:sz="4" w:space="0" w:color="auto"/>
            </w:tcBorders>
            <w:shd w:val="clear" w:color="auto" w:fill="auto"/>
            <w:vAlign w:val="center"/>
          </w:tcPr>
          <w:p w14:paraId="33691881" w14:textId="77777777" w:rsidR="002A0DE8" w:rsidRPr="005D22E6" w:rsidRDefault="002A0DE8">
            <w:pPr>
              <w:jc w:val="center"/>
              <w:rPr>
                <w:rFonts w:ascii="Times New Roman" w:hAnsi="Times New Roman" w:cs="Times New Roman"/>
                <w:szCs w:val="21"/>
              </w:rPr>
            </w:pPr>
          </w:p>
        </w:tc>
        <w:tc>
          <w:tcPr>
            <w:tcW w:w="1097" w:type="dxa"/>
            <w:tcBorders>
              <w:bottom w:val="single" w:sz="4" w:space="0" w:color="auto"/>
            </w:tcBorders>
            <w:shd w:val="clear" w:color="auto" w:fill="auto"/>
            <w:vAlign w:val="center"/>
          </w:tcPr>
          <w:p w14:paraId="61DDE3E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w:t>
            </w:r>
          </w:p>
        </w:tc>
        <w:tc>
          <w:tcPr>
            <w:tcW w:w="1098" w:type="dxa"/>
            <w:tcBorders>
              <w:bottom w:val="single" w:sz="4" w:space="0" w:color="auto"/>
            </w:tcBorders>
            <w:shd w:val="clear" w:color="auto" w:fill="auto"/>
            <w:vAlign w:val="center"/>
          </w:tcPr>
          <w:p w14:paraId="187DFDD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w:t>
            </w:r>
          </w:p>
        </w:tc>
        <w:tc>
          <w:tcPr>
            <w:tcW w:w="1098" w:type="dxa"/>
            <w:tcBorders>
              <w:bottom w:val="single" w:sz="4" w:space="0" w:color="auto"/>
            </w:tcBorders>
            <w:shd w:val="clear" w:color="auto" w:fill="auto"/>
            <w:vAlign w:val="center"/>
          </w:tcPr>
          <w:p w14:paraId="3480464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w:t>
            </w:r>
          </w:p>
        </w:tc>
        <w:tc>
          <w:tcPr>
            <w:tcW w:w="1098" w:type="dxa"/>
            <w:tcBorders>
              <w:bottom w:val="single" w:sz="4" w:space="0" w:color="auto"/>
            </w:tcBorders>
            <w:shd w:val="clear" w:color="auto" w:fill="auto"/>
            <w:vAlign w:val="center"/>
          </w:tcPr>
          <w:p w14:paraId="3813C59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w:t>
            </w:r>
          </w:p>
        </w:tc>
        <w:tc>
          <w:tcPr>
            <w:tcW w:w="1103" w:type="dxa"/>
            <w:tcBorders>
              <w:bottom w:val="single" w:sz="4" w:space="0" w:color="auto"/>
            </w:tcBorders>
            <w:shd w:val="clear" w:color="auto" w:fill="auto"/>
            <w:vAlign w:val="center"/>
          </w:tcPr>
          <w:p w14:paraId="6990F2F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5#</w:t>
            </w:r>
          </w:p>
        </w:tc>
        <w:tc>
          <w:tcPr>
            <w:tcW w:w="1012" w:type="dxa"/>
            <w:tcBorders>
              <w:bottom w:val="single" w:sz="4" w:space="0" w:color="auto"/>
            </w:tcBorders>
            <w:vAlign w:val="center"/>
          </w:tcPr>
          <w:p w14:paraId="78C70E1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w:t>
            </w:r>
          </w:p>
        </w:tc>
        <w:tc>
          <w:tcPr>
            <w:tcW w:w="992" w:type="dxa"/>
            <w:tcBorders>
              <w:bottom w:val="single" w:sz="4" w:space="0" w:color="auto"/>
            </w:tcBorders>
            <w:vAlign w:val="center"/>
          </w:tcPr>
          <w:p w14:paraId="07750A1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7#</w:t>
            </w:r>
          </w:p>
        </w:tc>
      </w:tr>
      <w:tr w:rsidR="002A0DE8" w:rsidRPr="005D22E6" w14:paraId="1F5BCE84" w14:textId="77777777" w:rsidTr="00992756">
        <w:trPr>
          <w:trHeight w:val="170"/>
          <w:jc w:val="center"/>
        </w:trPr>
        <w:tc>
          <w:tcPr>
            <w:tcW w:w="832" w:type="dxa"/>
            <w:vMerge w:val="restart"/>
            <w:shd w:val="clear" w:color="auto" w:fill="auto"/>
            <w:vAlign w:val="center"/>
          </w:tcPr>
          <w:p w14:paraId="3067851C"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E6A4CF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0.81</w:t>
            </w:r>
          </w:p>
        </w:tc>
        <w:tc>
          <w:tcPr>
            <w:tcW w:w="1098" w:type="dxa"/>
            <w:tcBorders>
              <w:top w:val="single" w:sz="4" w:space="0" w:color="auto"/>
              <w:left w:val="nil"/>
              <w:bottom w:val="single" w:sz="4" w:space="0" w:color="auto"/>
              <w:right w:val="single" w:sz="4" w:space="0" w:color="auto"/>
            </w:tcBorders>
            <w:shd w:val="clear" w:color="auto" w:fill="auto"/>
            <w:vAlign w:val="center"/>
          </w:tcPr>
          <w:p w14:paraId="1F17E97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2.74</w:t>
            </w:r>
          </w:p>
        </w:tc>
        <w:tc>
          <w:tcPr>
            <w:tcW w:w="1098" w:type="dxa"/>
            <w:tcBorders>
              <w:top w:val="single" w:sz="4" w:space="0" w:color="auto"/>
              <w:left w:val="nil"/>
              <w:bottom w:val="single" w:sz="4" w:space="0" w:color="auto"/>
              <w:right w:val="single" w:sz="4" w:space="0" w:color="auto"/>
            </w:tcBorders>
            <w:shd w:val="clear" w:color="auto" w:fill="auto"/>
            <w:vAlign w:val="center"/>
          </w:tcPr>
          <w:p w14:paraId="736346A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6.33</w:t>
            </w:r>
          </w:p>
        </w:tc>
        <w:tc>
          <w:tcPr>
            <w:tcW w:w="1098" w:type="dxa"/>
            <w:tcBorders>
              <w:top w:val="single" w:sz="4" w:space="0" w:color="auto"/>
              <w:left w:val="nil"/>
              <w:bottom w:val="single" w:sz="4" w:space="0" w:color="auto"/>
              <w:right w:val="single" w:sz="4" w:space="0" w:color="auto"/>
            </w:tcBorders>
            <w:shd w:val="clear" w:color="auto" w:fill="auto"/>
            <w:vAlign w:val="center"/>
          </w:tcPr>
          <w:p w14:paraId="4299594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13.56</w:t>
            </w:r>
          </w:p>
        </w:tc>
        <w:tc>
          <w:tcPr>
            <w:tcW w:w="1103" w:type="dxa"/>
            <w:tcBorders>
              <w:top w:val="single" w:sz="4" w:space="0" w:color="auto"/>
              <w:left w:val="nil"/>
              <w:bottom w:val="single" w:sz="4" w:space="0" w:color="auto"/>
              <w:right w:val="single" w:sz="4" w:space="0" w:color="auto"/>
            </w:tcBorders>
            <w:shd w:val="clear" w:color="auto" w:fill="auto"/>
            <w:vAlign w:val="center"/>
          </w:tcPr>
          <w:p w14:paraId="10026A5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17.22</w:t>
            </w:r>
          </w:p>
        </w:tc>
        <w:tc>
          <w:tcPr>
            <w:tcW w:w="1012" w:type="dxa"/>
            <w:tcBorders>
              <w:top w:val="single" w:sz="4" w:space="0" w:color="auto"/>
              <w:left w:val="nil"/>
              <w:bottom w:val="single" w:sz="4" w:space="0" w:color="auto"/>
              <w:right w:val="single" w:sz="4" w:space="0" w:color="auto"/>
            </w:tcBorders>
            <w:vAlign w:val="center"/>
          </w:tcPr>
          <w:p w14:paraId="47B6168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34.13</w:t>
            </w:r>
          </w:p>
        </w:tc>
        <w:tc>
          <w:tcPr>
            <w:tcW w:w="992" w:type="dxa"/>
            <w:tcBorders>
              <w:top w:val="single" w:sz="4" w:space="0" w:color="auto"/>
              <w:left w:val="nil"/>
              <w:bottom w:val="single" w:sz="4" w:space="0" w:color="auto"/>
              <w:right w:val="single" w:sz="4" w:space="0" w:color="auto"/>
            </w:tcBorders>
            <w:vAlign w:val="center"/>
          </w:tcPr>
          <w:p w14:paraId="2F8BC04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40.92</w:t>
            </w:r>
          </w:p>
        </w:tc>
      </w:tr>
      <w:tr w:rsidR="002A0DE8" w:rsidRPr="005D22E6" w14:paraId="79ED17BE" w14:textId="77777777" w:rsidTr="00992756">
        <w:trPr>
          <w:trHeight w:val="170"/>
          <w:jc w:val="center"/>
        </w:trPr>
        <w:tc>
          <w:tcPr>
            <w:tcW w:w="832" w:type="dxa"/>
            <w:vMerge/>
            <w:shd w:val="clear" w:color="auto" w:fill="auto"/>
            <w:vAlign w:val="center"/>
          </w:tcPr>
          <w:p w14:paraId="200E6151"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62B81F3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0.82</w:t>
            </w:r>
          </w:p>
        </w:tc>
        <w:tc>
          <w:tcPr>
            <w:tcW w:w="1098" w:type="dxa"/>
            <w:tcBorders>
              <w:top w:val="nil"/>
              <w:left w:val="nil"/>
              <w:bottom w:val="single" w:sz="4" w:space="0" w:color="auto"/>
              <w:right w:val="single" w:sz="4" w:space="0" w:color="auto"/>
            </w:tcBorders>
            <w:shd w:val="clear" w:color="auto" w:fill="auto"/>
            <w:vAlign w:val="center"/>
          </w:tcPr>
          <w:p w14:paraId="4C92631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2.69</w:t>
            </w:r>
          </w:p>
        </w:tc>
        <w:tc>
          <w:tcPr>
            <w:tcW w:w="1098" w:type="dxa"/>
            <w:tcBorders>
              <w:top w:val="nil"/>
              <w:left w:val="nil"/>
              <w:bottom w:val="single" w:sz="4" w:space="0" w:color="auto"/>
              <w:right w:val="single" w:sz="4" w:space="0" w:color="auto"/>
            </w:tcBorders>
            <w:shd w:val="clear" w:color="auto" w:fill="auto"/>
            <w:vAlign w:val="center"/>
          </w:tcPr>
          <w:p w14:paraId="26EF2DB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6.37</w:t>
            </w:r>
          </w:p>
        </w:tc>
        <w:tc>
          <w:tcPr>
            <w:tcW w:w="1098" w:type="dxa"/>
            <w:tcBorders>
              <w:top w:val="nil"/>
              <w:left w:val="nil"/>
              <w:bottom w:val="single" w:sz="4" w:space="0" w:color="auto"/>
              <w:right w:val="single" w:sz="4" w:space="0" w:color="auto"/>
            </w:tcBorders>
            <w:shd w:val="clear" w:color="auto" w:fill="auto"/>
            <w:vAlign w:val="center"/>
          </w:tcPr>
          <w:p w14:paraId="40BA65B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13.52</w:t>
            </w:r>
          </w:p>
        </w:tc>
        <w:tc>
          <w:tcPr>
            <w:tcW w:w="1103" w:type="dxa"/>
            <w:tcBorders>
              <w:top w:val="nil"/>
              <w:left w:val="nil"/>
              <w:bottom w:val="single" w:sz="4" w:space="0" w:color="auto"/>
              <w:right w:val="single" w:sz="4" w:space="0" w:color="auto"/>
            </w:tcBorders>
            <w:shd w:val="clear" w:color="auto" w:fill="auto"/>
            <w:vAlign w:val="center"/>
          </w:tcPr>
          <w:p w14:paraId="49DD880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17.31</w:t>
            </w:r>
          </w:p>
        </w:tc>
        <w:tc>
          <w:tcPr>
            <w:tcW w:w="1012" w:type="dxa"/>
            <w:tcBorders>
              <w:top w:val="nil"/>
              <w:left w:val="nil"/>
              <w:bottom w:val="single" w:sz="4" w:space="0" w:color="auto"/>
              <w:right w:val="single" w:sz="4" w:space="0" w:color="auto"/>
            </w:tcBorders>
            <w:vAlign w:val="center"/>
          </w:tcPr>
          <w:p w14:paraId="52B77CB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34.03</w:t>
            </w:r>
          </w:p>
        </w:tc>
        <w:tc>
          <w:tcPr>
            <w:tcW w:w="992" w:type="dxa"/>
            <w:tcBorders>
              <w:top w:val="nil"/>
              <w:left w:val="nil"/>
              <w:bottom w:val="single" w:sz="4" w:space="0" w:color="auto"/>
              <w:right w:val="single" w:sz="4" w:space="0" w:color="auto"/>
            </w:tcBorders>
            <w:vAlign w:val="center"/>
          </w:tcPr>
          <w:p w14:paraId="6439012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40.76</w:t>
            </w:r>
          </w:p>
        </w:tc>
      </w:tr>
      <w:tr w:rsidR="002A0DE8" w:rsidRPr="005D22E6" w14:paraId="41A261A5" w14:textId="77777777" w:rsidTr="00992756">
        <w:trPr>
          <w:trHeight w:val="170"/>
          <w:jc w:val="center"/>
        </w:trPr>
        <w:tc>
          <w:tcPr>
            <w:tcW w:w="832" w:type="dxa"/>
            <w:vMerge/>
            <w:shd w:val="clear" w:color="auto" w:fill="auto"/>
            <w:vAlign w:val="center"/>
          </w:tcPr>
          <w:p w14:paraId="17B4BC2D"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0BA3D06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0.79</w:t>
            </w:r>
          </w:p>
        </w:tc>
        <w:tc>
          <w:tcPr>
            <w:tcW w:w="1098" w:type="dxa"/>
            <w:tcBorders>
              <w:top w:val="nil"/>
              <w:left w:val="nil"/>
              <w:bottom w:val="single" w:sz="4" w:space="0" w:color="auto"/>
              <w:right w:val="single" w:sz="4" w:space="0" w:color="auto"/>
            </w:tcBorders>
            <w:shd w:val="clear" w:color="auto" w:fill="auto"/>
            <w:vAlign w:val="center"/>
          </w:tcPr>
          <w:p w14:paraId="267EF94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2.78</w:t>
            </w:r>
          </w:p>
        </w:tc>
        <w:tc>
          <w:tcPr>
            <w:tcW w:w="1098" w:type="dxa"/>
            <w:tcBorders>
              <w:top w:val="nil"/>
              <w:left w:val="nil"/>
              <w:bottom w:val="single" w:sz="4" w:space="0" w:color="auto"/>
              <w:right w:val="single" w:sz="4" w:space="0" w:color="auto"/>
            </w:tcBorders>
            <w:shd w:val="clear" w:color="auto" w:fill="auto"/>
            <w:vAlign w:val="center"/>
          </w:tcPr>
          <w:p w14:paraId="702CF36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6.29</w:t>
            </w:r>
          </w:p>
        </w:tc>
        <w:tc>
          <w:tcPr>
            <w:tcW w:w="1098" w:type="dxa"/>
            <w:tcBorders>
              <w:top w:val="nil"/>
              <w:left w:val="nil"/>
              <w:bottom w:val="single" w:sz="4" w:space="0" w:color="auto"/>
              <w:right w:val="single" w:sz="4" w:space="0" w:color="auto"/>
            </w:tcBorders>
            <w:shd w:val="clear" w:color="auto" w:fill="auto"/>
            <w:vAlign w:val="center"/>
          </w:tcPr>
          <w:p w14:paraId="07837B0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13.64</w:t>
            </w:r>
          </w:p>
        </w:tc>
        <w:tc>
          <w:tcPr>
            <w:tcW w:w="1103" w:type="dxa"/>
            <w:tcBorders>
              <w:top w:val="nil"/>
              <w:left w:val="nil"/>
              <w:bottom w:val="single" w:sz="4" w:space="0" w:color="auto"/>
              <w:right w:val="single" w:sz="4" w:space="0" w:color="auto"/>
            </w:tcBorders>
            <w:shd w:val="clear" w:color="auto" w:fill="auto"/>
            <w:vAlign w:val="center"/>
          </w:tcPr>
          <w:p w14:paraId="5A12D07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17.39</w:t>
            </w:r>
          </w:p>
        </w:tc>
        <w:tc>
          <w:tcPr>
            <w:tcW w:w="1012" w:type="dxa"/>
            <w:tcBorders>
              <w:top w:val="nil"/>
              <w:left w:val="nil"/>
              <w:bottom w:val="single" w:sz="4" w:space="0" w:color="auto"/>
              <w:right w:val="single" w:sz="4" w:space="0" w:color="auto"/>
            </w:tcBorders>
            <w:vAlign w:val="center"/>
          </w:tcPr>
          <w:p w14:paraId="1ED4762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34.22</w:t>
            </w:r>
          </w:p>
        </w:tc>
        <w:tc>
          <w:tcPr>
            <w:tcW w:w="992" w:type="dxa"/>
            <w:tcBorders>
              <w:top w:val="nil"/>
              <w:left w:val="nil"/>
              <w:bottom w:val="single" w:sz="4" w:space="0" w:color="auto"/>
              <w:right w:val="single" w:sz="4" w:space="0" w:color="auto"/>
            </w:tcBorders>
            <w:vAlign w:val="center"/>
          </w:tcPr>
          <w:p w14:paraId="57C5282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40.90</w:t>
            </w:r>
          </w:p>
        </w:tc>
      </w:tr>
      <w:tr w:rsidR="002A0DE8" w:rsidRPr="005D22E6" w14:paraId="17903F05" w14:textId="77777777" w:rsidTr="00992756">
        <w:trPr>
          <w:trHeight w:val="170"/>
          <w:jc w:val="center"/>
        </w:trPr>
        <w:tc>
          <w:tcPr>
            <w:tcW w:w="832" w:type="dxa"/>
            <w:vMerge/>
            <w:tcBorders>
              <w:bottom w:val="single" w:sz="4" w:space="0" w:color="auto"/>
            </w:tcBorders>
            <w:shd w:val="clear" w:color="auto" w:fill="auto"/>
            <w:vAlign w:val="center"/>
          </w:tcPr>
          <w:p w14:paraId="0D88CBFD"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406629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0.81</w:t>
            </w:r>
          </w:p>
        </w:tc>
        <w:tc>
          <w:tcPr>
            <w:tcW w:w="1098" w:type="dxa"/>
            <w:tcBorders>
              <w:top w:val="nil"/>
              <w:left w:val="nil"/>
              <w:bottom w:val="single" w:sz="4" w:space="0" w:color="auto"/>
              <w:right w:val="single" w:sz="4" w:space="0" w:color="auto"/>
            </w:tcBorders>
            <w:shd w:val="clear" w:color="auto" w:fill="auto"/>
            <w:vAlign w:val="center"/>
          </w:tcPr>
          <w:p w14:paraId="1401A8E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2.65</w:t>
            </w:r>
          </w:p>
        </w:tc>
        <w:tc>
          <w:tcPr>
            <w:tcW w:w="1098" w:type="dxa"/>
            <w:tcBorders>
              <w:top w:val="nil"/>
              <w:left w:val="nil"/>
              <w:bottom w:val="single" w:sz="4" w:space="0" w:color="auto"/>
              <w:right w:val="single" w:sz="4" w:space="0" w:color="auto"/>
            </w:tcBorders>
            <w:shd w:val="clear" w:color="auto" w:fill="auto"/>
            <w:vAlign w:val="center"/>
          </w:tcPr>
          <w:p w14:paraId="1EB9828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6.33</w:t>
            </w:r>
          </w:p>
        </w:tc>
        <w:tc>
          <w:tcPr>
            <w:tcW w:w="1098" w:type="dxa"/>
            <w:tcBorders>
              <w:top w:val="nil"/>
              <w:left w:val="nil"/>
              <w:bottom w:val="single" w:sz="4" w:space="0" w:color="auto"/>
              <w:right w:val="single" w:sz="4" w:space="0" w:color="auto"/>
            </w:tcBorders>
            <w:shd w:val="clear" w:color="auto" w:fill="auto"/>
            <w:vAlign w:val="center"/>
          </w:tcPr>
          <w:p w14:paraId="4DD1625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13.58</w:t>
            </w:r>
          </w:p>
        </w:tc>
        <w:tc>
          <w:tcPr>
            <w:tcW w:w="1103" w:type="dxa"/>
            <w:tcBorders>
              <w:top w:val="nil"/>
              <w:left w:val="nil"/>
              <w:bottom w:val="single" w:sz="4" w:space="0" w:color="auto"/>
              <w:right w:val="single" w:sz="4" w:space="0" w:color="auto"/>
            </w:tcBorders>
            <w:shd w:val="clear" w:color="auto" w:fill="auto"/>
            <w:vAlign w:val="center"/>
          </w:tcPr>
          <w:p w14:paraId="74B7642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17.35</w:t>
            </w:r>
          </w:p>
        </w:tc>
        <w:tc>
          <w:tcPr>
            <w:tcW w:w="1012" w:type="dxa"/>
            <w:tcBorders>
              <w:top w:val="nil"/>
              <w:left w:val="nil"/>
              <w:bottom w:val="single" w:sz="4" w:space="0" w:color="auto"/>
              <w:right w:val="single" w:sz="4" w:space="0" w:color="auto"/>
            </w:tcBorders>
            <w:vAlign w:val="center"/>
          </w:tcPr>
          <w:p w14:paraId="3A89E1E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34.13</w:t>
            </w:r>
          </w:p>
        </w:tc>
        <w:tc>
          <w:tcPr>
            <w:tcW w:w="992" w:type="dxa"/>
            <w:tcBorders>
              <w:top w:val="nil"/>
              <w:left w:val="nil"/>
              <w:bottom w:val="single" w:sz="4" w:space="0" w:color="auto"/>
              <w:right w:val="single" w:sz="4" w:space="0" w:color="auto"/>
            </w:tcBorders>
            <w:vAlign w:val="center"/>
          </w:tcPr>
          <w:p w14:paraId="56ABCAC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40.64</w:t>
            </w:r>
          </w:p>
        </w:tc>
      </w:tr>
      <w:tr w:rsidR="002A0DE8" w:rsidRPr="005D22E6" w14:paraId="2351B8A2" w14:textId="77777777" w:rsidTr="00992756">
        <w:trPr>
          <w:trHeight w:val="179"/>
          <w:jc w:val="center"/>
        </w:trPr>
        <w:tc>
          <w:tcPr>
            <w:tcW w:w="832" w:type="dxa"/>
            <w:vMerge w:val="restart"/>
            <w:tcBorders>
              <w:top w:val="single" w:sz="4" w:space="0" w:color="auto"/>
            </w:tcBorders>
            <w:shd w:val="clear" w:color="auto" w:fill="auto"/>
            <w:vAlign w:val="center"/>
          </w:tcPr>
          <w:p w14:paraId="13CE51C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2</w:t>
            </w:r>
          </w:p>
        </w:tc>
        <w:tc>
          <w:tcPr>
            <w:tcW w:w="1097" w:type="dxa"/>
            <w:tcBorders>
              <w:top w:val="nil"/>
              <w:left w:val="single" w:sz="4" w:space="0" w:color="auto"/>
              <w:bottom w:val="single" w:sz="4" w:space="0" w:color="auto"/>
              <w:right w:val="single" w:sz="4" w:space="0" w:color="auto"/>
            </w:tcBorders>
            <w:shd w:val="clear" w:color="auto" w:fill="auto"/>
            <w:vAlign w:val="center"/>
          </w:tcPr>
          <w:p w14:paraId="6D24D4A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0.70</w:t>
            </w:r>
          </w:p>
        </w:tc>
        <w:tc>
          <w:tcPr>
            <w:tcW w:w="1098" w:type="dxa"/>
            <w:tcBorders>
              <w:top w:val="nil"/>
              <w:left w:val="nil"/>
              <w:bottom w:val="single" w:sz="4" w:space="0" w:color="auto"/>
              <w:right w:val="single" w:sz="4" w:space="0" w:color="auto"/>
            </w:tcBorders>
            <w:shd w:val="clear" w:color="auto" w:fill="auto"/>
            <w:vAlign w:val="center"/>
          </w:tcPr>
          <w:p w14:paraId="38FFDB5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2.66</w:t>
            </w:r>
          </w:p>
        </w:tc>
        <w:tc>
          <w:tcPr>
            <w:tcW w:w="1098" w:type="dxa"/>
            <w:tcBorders>
              <w:top w:val="nil"/>
              <w:left w:val="nil"/>
              <w:bottom w:val="single" w:sz="4" w:space="0" w:color="auto"/>
              <w:right w:val="single" w:sz="4" w:space="0" w:color="auto"/>
            </w:tcBorders>
            <w:shd w:val="clear" w:color="auto" w:fill="auto"/>
            <w:vAlign w:val="center"/>
          </w:tcPr>
          <w:p w14:paraId="4A8DB6F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6.22</w:t>
            </w:r>
          </w:p>
        </w:tc>
        <w:tc>
          <w:tcPr>
            <w:tcW w:w="1098" w:type="dxa"/>
            <w:tcBorders>
              <w:top w:val="nil"/>
              <w:left w:val="nil"/>
              <w:bottom w:val="single" w:sz="4" w:space="0" w:color="auto"/>
              <w:right w:val="single" w:sz="4" w:space="0" w:color="auto"/>
            </w:tcBorders>
            <w:shd w:val="clear" w:color="auto" w:fill="auto"/>
            <w:vAlign w:val="center"/>
          </w:tcPr>
          <w:p w14:paraId="39B154A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13.17</w:t>
            </w:r>
          </w:p>
        </w:tc>
        <w:tc>
          <w:tcPr>
            <w:tcW w:w="1103" w:type="dxa"/>
            <w:tcBorders>
              <w:top w:val="nil"/>
              <w:left w:val="nil"/>
              <w:bottom w:val="single" w:sz="4" w:space="0" w:color="auto"/>
              <w:right w:val="single" w:sz="4" w:space="0" w:color="auto"/>
            </w:tcBorders>
            <w:shd w:val="clear" w:color="auto" w:fill="auto"/>
            <w:vAlign w:val="center"/>
          </w:tcPr>
          <w:p w14:paraId="6309A7F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17.02</w:t>
            </w:r>
          </w:p>
        </w:tc>
        <w:tc>
          <w:tcPr>
            <w:tcW w:w="1012" w:type="dxa"/>
            <w:tcBorders>
              <w:top w:val="nil"/>
              <w:left w:val="nil"/>
              <w:bottom w:val="single" w:sz="4" w:space="0" w:color="auto"/>
              <w:right w:val="single" w:sz="4" w:space="0" w:color="auto"/>
            </w:tcBorders>
            <w:vAlign w:val="center"/>
          </w:tcPr>
          <w:p w14:paraId="047CAC8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33.66</w:t>
            </w:r>
          </w:p>
        </w:tc>
        <w:tc>
          <w:tcPr>
            <w:tcW w:w="992" w:type="dxa"/>
            <w:tcBorders>
              <w:top w:val="nil"/>
              <w:left w:val="nil"/>
              <w:bottom w:val="single" w:sz="4" w:space="0" w:color="auto"/>
              <w:right w:val="single" w:sz="4" w:space="0" w:color="auto"/>
            </w:tcBorders>
            <w:vAlign w:val="center"/>
          </w:tcPr>
          <w:p w14:paraId="3DF2B68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40.54</w:t>
            </w:r>
          </w:p>
        </w:tc>
      </w:tr>
      <w:tr w:rsidR="002A0DE8" w:rsidRPr="005D22E6" w14:paraId="3251ED6B" w14:textId="77777777" w:rsidTr="00992756">
        <w:trPr>
          <w:trHeight w:val="173"/>
          <w:jc w:val="center"/>
        </w:trPr>
        <w:tc>
          <w:tcPr>
            <w:tcW w:w="832" w:type="dxa"/>
            <w:vMerge/>
            <w:shd w:val="clear" w:color="auto" w:fill="auto"/>
            <w:vAlign w:val="center"/>
          </w:tcPr>
          <w:p w14:paraId="1124D2EE"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4CBCB12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0.67</w:t>
            </w:r>
          </w:p>
        </w:tc>
        <w:tc>
          <w:tcPr>
            <w:tcW w:w="1098" w:type="dxa"/>
            <w:tcBorders>
              <w:top w:val="nil"/>
              <w:left w:val="nil"/>
              <w:bottom w:val="single" w:sz="4" w:space="0" w:color="auto"/>
              <w:right w:val="single" w:sz="4" w:space="0" w:color="auto"/>
            </w:tcBorders>
            <w:shd w:val="clear" w:color="auto" w:fill="auto"/>
            <w:vAlign w:val="center"/>
          </w:tcPr>
          <w:p w14:paraId="7DE503F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2.67</w:t>
            </w:r>
          </w:p>
        </w:tc>
        <w:tc>
          <w:tcPr>
            <w:tcW w:w="1098" w:type="dxa"/>
            <w:tcBorders>
              <w:top w:val="nil"/>
              <w:left w:val="nil"/>
              <w:bottom w:val="single" w:sz="4" w:space="0" w:color="auto"/>
              <w:right w:val="single" w:sz="4" w:space="0" w:color="auto"/>
            </w:tcBorders>
            <w:shd w:val="clear" w:color="auto" w:fill="auto"/>
            <w:vAlign w:val="center"/>
          </w:tcPr>
          <w:p w14:paraId="55D578D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6.21</w:t>
            </w:r>
          </w:p>
        </w:tc>
        <w:tc>
          <w:tcPr>
            <w:tcW w:w="1098" w:type="dxa"/>
            <w:tcBorders>
              <w:top w:val="nil"/>
              <w:left w:val="nil"/>
              <w:bottom w:val="single" w:sz="4" w:space="0" w:color="auto"/>
              <w:right w:val="single" w:sz="4" w:space="0" w:color="auto"/>
            </w:tcBorders>
            <w:shd w:val="clear" w:color="auto" w:fill="auto"/>
            <w:vAlign w:val="center"/>
          </w:tcPr>
          <w:p w14:paraId="798A8C3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13.34</w:t>
            </w:r>
          </w:p>
        </w:tc>
        <w:tc>
          <w:tcPr>
            <w:tcW w:w="1103" w:type="dxa"/>
            <w:tcBorders>
              <w:top w:val="nil"/>
              <w:left w:val="nil"/>
              <w:bottom w:val="single" w:sz="4" w:space="0" w:color="auto"/>
              <w:right w:val="single" w:sz="4" w:space="0" w:color="auto"/>
            </w:tcBorders>
            <w:shd w:val="clear" w:color="auto" w:fill="auto"/>
            <w:vAlign w:val="center"/>
          </w:tcPr>
          <w:p w14:paraId="5332740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17.00</w:t>
            </w:r>
          </w:p>
        </w:tc>
        <w:tc>
          <w:tcPr>
            <w:tcW w:w="1012" w:type="dxa"/>
            <w:tcBorders>
              <w:top w:val="nil"/>
              <w:left w:val="nil"/>
              <w:bottom w:val="single" w:sz="4" w:space="0" w:color="auto"/>
              <w:right w:val="single" w:sz="4" w:space="0" w:color="auto"/>
            </w:tcBorders>
            <w:vAlign w:val="center"/>
          </w:tcPr>
          <w:p w14:paraId="5199D3D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33.74</w:t>
            </w:r>
          </w:p>
        </w:tc>
        <w:tc>
          <w:tcPr>
            <w:tcW w:w="992" w:type="dxa"/>
            <w:tcBorders>
              <w:top w:val="nil"/>
              <w:left w:val="nil"/>
              <w:bottom w:val="single" w:sz="4" w:space="0" w:color="auto"/>
              <w:right w:val="single" w:sz="4" w:space="0" w:color="auto"/>
            </w:tcBorders>
            <w:vAlign w:val="center"/>
          </w:tcPr>
          <w:p w14:paraId="1560816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40.48</w:t>
            </w:r>
          </w:p>
        </w:tc>
      </w:tr>
      <w:tr w:rsidR="002A0DE8" w:rsidRPr="005D22E6" w14:paraId="4A5EB2D7" w14:textId="77777777" w:rsidTr="00992756">
        <w:trPr>
          <w:trHeight w:val="173"/>
          <w:jc w:val="center"/>
        </w:trPr>
        <w:tc>
          <w:tcPr>
            <w:tcW w:w="832" w:type="dxa"/>
            <w:vMerge/>
            <w:shd w:val="clear" w:color="auto" w:fill="auto"/>
            <w:vAlign w:val="center"/>
          </w:tcPr>
          <w:p w14:paraId="0C0DEBE7"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0D1FC21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0.71</w:t>
            </w:r>
          </w:p>
        </w:tc>
        <w:tc>
          <w:tcPr>
            <w:tcW w:w="1098" w:type="dxa"/>
            <w:tcBorders>
              <w:top w:val="nil"/>
              <w:left w:val="nil"/>
              <w:bottom w:val="single" w:sz="4" w:space="0" w:color="auto"/>
              <w:right w:val="single" w:sz="4" w:space="0" w:color="auto"/>
            </w:tcBorders>
            <w:shd w:val="clear" w:color="auto" w:fill="auto"/>
            <w:vAlign w:val="center"/>
          </w:tcPr>
          <w:p w14:paraId="166545D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2.65</w:t>
            </w:r>
          </w:p>
        </w:tc>
        <w:tc>
          <w:tcPr>
            <w:tcW w:w="1098" w:type="dxa"/>
            <w:tcBorders>
              <w:top w:val="nil"/>
              <w:left w:val="nil"/>
              <w:bottom w:val="single" w:sz="4" w:space="0" w:color="auto"/>
              <w:right w:val="single" w:sz="4" w:space="0" w:color="auto"/>
            </w:tcBorders>
            <w:shd w:val="clear" w:color="auto" w:fill="auto"/>
            <w:vAlign w:val="center"/>
          </w:tcPr>
          <w:p w14:paraId="46353B5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6.32</w:t>
            </w:r>
          </w:p>
        </w:tc>
        <w:tc>
          <w:tcPr>
            <w:tcW w:w="1098" w:type="dxa"/>
            <w:tcBorders>
              <w:top w:val="nil"/>
              <w:left w:val="nil"/>
              <w:bottom w:val="single" w:sz="4" w:space="0" w:color="auto"/>
              <w:right w:val="single" w:sz="4" w:space="0" w:color="auto"/>
            </w:tcBorders>
            <w:shd w:val="clear" w:color="auto" w:fill="auto"/>
            <w:vAlign w:val="center"/>
          </w:tcPr>
          <w:p w14:paraId="0333856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13.32</w:t>
            </w:r>
          </w:p>
        </w:tc>
        <w:tc>
          <w:tcPr>
            <w:tcW w:w="1103" w:type="dxa"/>
            <w:tcBorders>
              <w:top w:val="nil"/>
              <w:left w:val="nil"/>
              <w:bottom w:val="single" w:sz="4" w:space="0" w:color="auto"/>
              <w:right w:val="single" w:sz="4" w:space="0" w:color="auto"/>
            </w:tcBorders>
            <w:shd w:val="clear" w:color="auto" w:fill="auto"/>
            <w:vAlign w:val="center"/>
          </w:tcPr>
          <w:p w14:paraId="6A927F3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17.11</w:t>
            </w:r>
          </w:p>
        </w:tc>
        <w:tc>
          <w:tcPr>
            <w:tcW w:w="1012" w:type="dxa"/>
            <w:tcBorders>
              <w:top w:val="nil"/>
              <w:left w:val="nil"/>
              <w:bottom w:val="single" w:sz="4" w:space="0" w:color="auto"/>
              <w:right w:val="single" w:sz="4" w:space="0" w:color="auto"/>
            </w:tcBorders>
            <w:vAlign w:val="center"/>
          </w:tcPr>
          <w:p w14:paraId="11281C6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33.84</w:t>
            </w:r>
          </w:p>
        </w:tc>
        <w:tc>
          <w:tcPr>
            <w:tcW w:w="992" w:type="dxa"/>
            <w:tcBorders>
              <w:top w:val="nil"/>
              <w:left w:val="nil"/>
              <w:bottom w:val="single" w:sz="4" w:space="0" w:color="auto"/>
              <w:right w:val="single" w:sz="4" w:space="0" w:color="auto"/>
            </w:tcBorders>
            <w:vAlign w:val="center"/>
          </w:tcPr>
          <w:p w14:paraId="4AD78D9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40.50</w:t>
            </w:r>
          </w:p>
        </w:tc>
      </w:tr>
      <w:tr w:rsidR="002A0DE8" w:rsidRPr="005D22E6" w14:paraId="4672B4E2" w14:textId="77777777" w:rsidTr="00992756">
        <w:trPr>
          <w:trHeight w:val="173"/>
          <w:jc w:val="center"/>
        </w:trPr>
        <w:tc>
          <w:tcPr>
            <w:tcW w:w="832" w:type="dxa"/>
            <w:vMerge/>
            <w:shd w:val="clear" w:color="auto" w:fill="auto"/>
            <w:vAlign w:val="center"/>
          </w:tcPr>
          <w:p w14:paraId="2DFFC0AB"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478F1C7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0.70</w:t>
            </w:r>
          </w:p>
        </w:tc>
        <w:tc>
          <w:tcPr>
            <w:tcW w:w="1098" w:type="dxa"/>
            <w:tcBorders>
              <w:top w:val="nil"/>
              <w:left w:val="nil"/>
              <w:bottom w:val="single" w:sz="4" w:space="0" w:color="auto"/>
              <w:right w:val="single" w:sz="4" w:space="0" w:color="auto"/>
            </w:tcBorders>
            <w:shd w:val="clear" w:color="auto" w:fill="auto"/>
            <w:vAlign w:val="center"/>
          </w:tcPr>
          <w:p w14:paraId="5842D6F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2.71</w:t>
            </w:r>
          </w:p>
        </w:tc>
        <w:tc>
          <w:tcPr>
            <w:tcW w:w="1098" w:type="dxa"/>
            <w:tcBorders>
              <w:top w:val="nil"/>
              <w:left w:val="nil"/>
              <w:bottom w:val="single" w:sz="4" w:space="0" w:color="auto"/>
              <w:right w:val="single" w:sz="4" w:space="0" w:color="auto"/>
            </w:tcBorders>
            <w:shd w:val="clear" w:color="auto" w:fill="auto"/>
            <w:vAlign w:val="center"/>
          </w:tcPr>
          <w:p w14:paraId="173EB41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6.07</w:t>
            </w:r>
          </w:p>
        </w:tc>
        <w:tc>
          <w:tcPr>
            <w:tcW w:w="1098" w:type="dxa"/>
            <w:tcBorders>
              <w:top w:val="nil"/>
              <w:left w:val="nil"/>
              <w:bottom w:val="single" w:sz="4" w:space="0" w:color="auto"/>
              <w:right w:val="single" w:sz="4" w:space="0" w:color="auto"/>
            </w:tcBorders>
            <w:shd w:val="clear" w:color="auto" w:fill="auto"/>
            <w:vAlign w:val="center"/>
          </w:tcPr>
          <w:p w14:paraId="5B901D8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13.27</w:t>
            </w:r>
          </w:p>
        </w:tc>
        <w:tc>
          <w:tcPr>
            <w:tcW w:w="1103" w:type="dxa"/>
            <w:tcBorders>
              <w:top w:val="nil"/>
              <w:left w:val="nil"/>
              <w:bottom w:val="single" w:sz="4" w:space="0" w:color="auto"/>
              <w:right w:val="single" w:sz="4" w:space="0" w:color="auto"/>
            </w:tcBorders>
            <w:shd w:val="clear" w:color="auto" w:fill="auto"/>
            <w:vAlign w:val="center"/>
          </w:tcPr>
          <w:p w14:paraId="42C9232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17.00</w:t>
            </w:r>
          </w:p>
        </w:tc>
        <w:tc>
          <w:tcPr>
            <w:tcW w:w="1012" w:type="dxa"/>
            <w:tcBorders>
              <w:top w:val="nil"/>
              <w:left w:val="nil"/>
              <w:bottom w:val="single" w:sz="4" w:space="0" w:color="auto"/>
              <w:right w:val="single" w:sz="4" w:space="0" w:color="auto"/>
            </w:tcBorders>
            <w:vAlign w:val="center"/>
          </w:tcPr>
          <w:p w14:paraId="39564C9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33.74</w:t>
            </w:r>
          </w:p>
        </w:tc>
        <w:tc>
          <w:tcPr>
            <w:tcW w:w="992" w:type="dxa"/>
            <w:tcBorders>
              <w:top w:val="nil"/>
              <w:left w:val="nil"/>
              <w:bottom w:val="single" w:sz="4" w:space="0" w:color="auto"/>
              <w:right w:val="single" w:sz="4" w:space="0" w:color="auto"/>
            </w:tcBorders>
            <w:vAlign w:val="center"/>
          </w:tcPr>
          <w:p w14:paraId="3EC5D46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40.55</w:t>
            </w:r>
          </w:p>
        </w:tc>
      </w:tr>
      <w:tr w:rsidR="002A0DE8" w:rsidRPr="005D22E6" w14:paraId="1F90E366" w14:textId="77777777" w:rsidTr="00992756">
        <w:trPr>
          <w:trHeight w:val="179"/>
          <w:jc w:val="center"/>
        </w:trPr>
        <w:tc>
          <w:tcPr>
            <w:tcW w:w="832" w:type="dxa"/>
            <w:vMerge w:val="restart"/>
            <w:shd w:val="clear" w:color="auto" w:fill="auto"/>
            <w:vAlign w:val="center"/>
          </w:tcPr>
          <w:p w14:paraId="39921BC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3</w:t>
            </w:r>
          </w:p>
        </w:tc>
        <w:tc>
          <w:tcPr>
            <w:tcW w:w="1097" w:type="dxa"/>
            <w:tcBorders>
              <w:top w:val="nil"/>
              <w:left w:val="single" w:sz="4" w:space="0" w:color="auto"/>
              <w:bottom w:val="single" w:sz="4" w:space="0" w:color="auto"/>
              <w:right w:val="single" w:sz="4" w:space="0" w:color="auto"/>
            </w:tcBorders>
            <w:shd w:val="clear" w:color="auto" w:fill="auto"/>
            <w:vAlign w:val="center"/>
          </w:tcPr>
          <w:p w14:paraId="3540FE7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0.57</w:t>
            </w:r>
          </w:p>
        </w:tc>
        <w:tc>
          <w:tcPr>
            <w:tcW w:w="1098" w:type="dxa"/>
            <w:tcBorders>
              <w:top w:val="nil"/>
              <w:left w:val="nil"/>
              <w:bottom w:val="single" w:sz="4" w:space="0" w:color="auto"/>
              <w:right w:val="single" w:sz="4" w:space="0" w:color="auto"/>
            </w:tcBorders>
            <w:shd w:val="clear" w:color="auto" w:fill="auto"/>
            <w:vAlign w:val="center"/>
          </w:tcPr>
          <w:p w14:paraId="196F965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2.76</w:t>
            </w:r>
          </w:p>
        </w:tc>
        <w:tc>
          <w:tcPr>
            <w:tcW w:w="1098" w:type="dxa"/>
            <w:tcBorders>
              <w:top w:val="nil"/>
              <w:left w:val="nil"/>
              <w:bottom w:val="single" w:sz="4" w:space="0" w:color="auto"/>
              <w:right w:val="single" w:sz="4" w:space="0" w:color="auto"/>
            </w:tcBorders>
            <w:shd w:val="clear" w:color="auto" w:fill="auto"/>
            <w:vAlign w:val="center"/>
          </w:tcPr>
          <w:p w14:paraId="68E66EE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6.13</w:t>
            </w:r>
          </w:p>
        </w:tc>
        <w:tc>
          <w:tcPr>
            <w:tcW w:w="1098" w:type="dxa"/>
            <w:tcBorders>
              <w:top w:val="nil"/>
              <w:left w:val="nil"/>
              <w:bottom w:val="single" w:sz="4" w:space="0" w:color="auto"/>
              <w:right w:val="single" w:sz="4" w:space="0" w:color="auto"/>
            </w:tcBorders>
            <w:shd w:val="clear" w:color="auto" w:fill="auto"/>
            <w:vAlign w:val="center"/>
          </w:tcPr>
          <w:p w14:paraId="6B3966B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13.22</w:t>
            </w:r>
          </w:p>
        </w:tc>
        <w:tc>
          <w:tcPr>
            <w:tcW w:w="1103" w:type="dxa"/>
            <w:tcBorders>
              <w:top w:val="nil"/>
              <w:left w:val="nil"/>
              <w:bottom w:val="single" w:sz="4" w:space="0" w:color="auto"/>
              <w:right w:val="single" w:sz="4" w:space="0" w:color="auto"/>
            </w:tcBorders>
            <w:shd w:val="clear" w:color="auto" w:fill="auto"/>
            <w:vAlign w:val="center"/>
          </w:tcPr>
          <w:p w14:paraId="1426494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17.24</w:t>
            </w:r>
          </w:p>
        </w:tc>
        <w:tc>
          <w:tcPr>
            <w:tcW w:w="1012" w:type="dxa"/>
            <w:tcBorders>
              <w:top w:val="nil"/>
              <w:left w:val="nil"/>
              <w:bottom w:val="single" w:sz="4" w:space="0" w:color="auto"/>
              <w:right w:val="single" w:sz="4" w:space="0" w:color="auto"/>
            </w:tcBorders>
            <w:vAlign w:val="center"/>
          </w:tcPr>
          <w:p w14:paraId="1BD7127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33.98</w:t>
            </w:r>
          </w:p>
        </w:tc>
        <w:tc>
          <w:tcPr>
            <w:tcW w:w="992" w:type="dxa"/>
            <w:tcBorders>
              <w:top w:val="nil"/>
              <w:left w:val="nil"/>
              <w:bottom w:val="single" w:sz="4" w:space="0" w:color="auto"/>
              <w:right w:val="single" w:sz="4" w:space="0" w:color="auto"/>
            </w:tcBorders>
            <w:vAlign w:val="center"/>
          </w:tcPr>
          <w:p w14:paraId="24EC7D5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40.31</w:t>
            </w:r>
          </w:p>
        </w:tc>
      </w:tr>
      <w:tr w:rsidR="002A0DE8" w:rsidRPr="005D22E6" w14:paraId="7C1C85D0" w14:textId="77777777" w:rsidTr="00992756">
        <w:trPr>
          <w:trHeight w:val="173"/>
          <w:jc w:val="center"/>
        </w:trPr>
        <w:tc>
          <w:tcPr>
            <w:tcW w:w="832" w:type="dxa"/>
            <w:vMerge/>
            <w:shd w:val="clear" w:color="auto" w:fill="auto"/>
            <w:vAlign w:val="center"/>
          </w:tcPr>
          <w:p w14:paraId="14707867"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39C7D1A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0.62</w:t>
            </w:r>
          </w:p>
        </w:tc>
        <w:tc>
          <w:tcPr>
            <w:tcW w:w="1098" w:type="dxa"/>
            <w:tcBorders>
              <w:top w:val="nil"/>
              <w:left w:val="nil"/>
              <w:bottom w:val="single" w:sz="4" w:space="0" w:color="auto"/>
              <w:right w:val="single" w:sz="4" w:space="0" w:color="auto"/>
            </w:tcBorders>
            <w:shd w:val="clear" w:color="auto" w:fill="auto"/>
            <w:vAlign w:val="center"/>
          </w:tcPr>
          <w:p w14:paraId="41C38D8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2.82</w:t>
            </w:r>
          </w:p>
        </w:tc>
        <w:tc>
          <w:tcPr>
            <w:tcW w:w="1098" w:type="dxa"/>
            <w:tcBorders>
              <w:top w:val="nil"/>
              <w:left w:val="nil"/>
              <w:bottom w:val="single" w:sz="4" w:space="0" w:color="auto"/>
              <w:right w:val="single" w:sz="4" w:space="0" w:color="auto"/>
            </w:tcBorders>
            <w:shd w:val="clear" w:color="auto" w:fill="auto"/>
            <w:vAlign w:val="center"/>
          </w:tcPr>
          <w:p w14:paraId="061A1A7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6.08</w:t>
            </w:r>
          </w:p>
        </w:tc>
        <w:tc>
          <w:tcPr>
            <w:tcW w:w="1098" w:type="dxa"/>
            <w:tcBorders>
              <w:top w:val="nil"/>
              <w:left w:val="nil"/>
              <w:bottom w:val="single" w:sz="4" w:space="0" w:color="auto"/>
              <w:right w:val="single" w:sz="4" w:space="0" w:color="auto"/>
            </w:tcBorders>
            <w:shd w:val="clear" w:color="auto" w:fill="auto"/>
            <w:vAlign w:val="center"/>
          </w:tcPr>
          <w:p w14:paraId="327507B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13.22</w:t>
            </w:r>
          </w:p>
        </w:tc>
        <w:tc>
          <w:tcPr>
            <w:tcW w:w="1103" w:type="dxa"/>
            <w:tcBorders>
              <w:top w:val="nil"/>
              <w:left w:val="nil"/>
              <w:bottom w:val="single" w:sz="4" w:space="0" w:color="auto"/>
              <w:right w:val="single" w:sz="4" w:space="0" w:color="auto"/>
            </w:tcBorders>
            <w:shd w:val="clear" w:color="auto" w:fill="auto"/>
            <w:vAlign w:val="center"/>
          </w:tcPr>
          <w:p w14:paraId="4EB5C6D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17.13</w:t>
            </w:r>
          </w:p>
        </w:tc>
        <w:tc>
          <w:tcPr>
            <w:tcW w:w="1012" w:type="dxa"/>
            <w:tcBorders>
              <w:top w:val="nil"/>
              <w:left w:val="nil"/>
              <w:bottom w:val="single" w:sz="4" w:space="0" w:color="auto"/>
              <w:right w:val="single" w:sz="4" w:space="0" w:color="auto"/>
            </w:tcBorders>
            <w:vAlign w:val="center"/>
          </w:tcPr>
          <w:p w14:paraId="2E999A9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34.07</w:t>
            </w:r>
          </w:p>
        </w:tc>
        <w:tc>
          <w:tcPr>
            <w:tcW w:w="992" w:type="dxa"/>
            <w:tcBorders>
              <w:top w:val="nil"/>
              <w:left w:val="nil"/>
              <w:bottom w:val="single" w:sz="4" w:space="0" w:color="auto"/>
              <w:right w:val="single" w:sz="4" w:space="0" w:color="auto"/>
            </w:tcBorders>
            <w:vAlign w:val="center"/>
          </w:tcPr>
          <w:p w14:paraId="55CB879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40.30</w:t>
            </w:r>
          </w:p>
        </w:tc>
      </w:tr>
      <w:tr w:rsidR="002A0DE8" w:rsidRPr="005D22E6" w14:paraId="63200E24" w14:textId="77777777" w:rsidTr="00992756">
        <w:trPr>
          <w:trHeight w:val="173"/>
          <w:jc w:val="center"/>
        </w:trPr>
        <w:tc>
          <w:tcPr>
            <w:tcW w:w="832" w:type="dxa"/>
            <w:vMerge/>
            <w:shd w:val="clear" w:color="auto" w:fill="auto"/>
            <w:vAlign w:val="center"/>
          </w:tcPr>
          <w:p w14:paraId="6D4668FB"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41365F1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0.63</w:t>
            </w:r>
          </w:p>
        </w:tc>
        <w:tc>
          <w:tcPr>
            <w:tcW w:w="1098" w:type="dxa"/>
            <w:tcBorders>
              <w:top w:val="nil"/>
              <w:left w:val="nil"/>
              <w:bottom w:val="single" w:sz="4" w:space="0" w:color="auto"/>
              <w:right w:val="single" w:sz="4" w:space="0" w:color="auto"/>
            </w:tcBorders>
            <w:shd w:val="clear" w:color="auto" w:fill="auto"/>
            <w:vAlign w:val="center"/>
          </w:tcPr>
          <w:p w14:paraId="5DEAE39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2.79</w:t>
            </w:r>
          </w:p>
        </w:tc>
        <w:tc>
          <w:tcPr>
            <w:tcW w:w="1098" w:type="dxa"/>
            <w:tcBorders>
              <w:top w:val="nil"/>
              <w:left w:val="nil"/>
              <w:bottom w:val="single" w:sz="4" w:space="0" w:color="auto"/>
              <w:right w:val="single" w:sz="4" w:space="0" w:color="auto"/>
            </w:tcBorders>
            <w:shd w:val="clear" w:color="auto" w:fill="auto"/>
            <w:vAlign w:val="center"/>
          </w:tcPr>
          <w:p w14:paraId="17295FA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6.17</w:t>
            </w:r>
          </w:p>
        </w:tc>
        <w:tc>
          <w:tcPr>
            <w:tcW w:w="1098" w:type="dxa"/>
            <w:tcBorders>
              <w:top w:val="nil"/>
              <w:left w:val="nil"/>
              <w:bottom w:val="single" w:sz="4" w:space="0" w:color="auto"/>
              <w:right w:val="single" w:sz="4" w:space="0" w:color="auto"/>
            </w:tcBorders>
            <w:shd w:val="clear" w:color="auto" w:fill="auto"/>
            <w:vAlign w:val="center"/>
          </w:tcPr>
          <w:p w14:paraId="2947A76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13.19</w:t>
            </w:r>
          </w:p>
        </w:tc>
        <w:tc>
          <w:tcPr>
            <w:tcW w:w="1103" w:type="dxa"/>
            <w:tcBorders>
              <w:top w:val="nil"/>
              <w:left w:val="nil"/>
              <w:bottom w:val="single" w:sz="4" w:space="0" w:color="auto"/>
              <w:right w:val="single" w:sz="4" w:space="0" w:color="auto"/>
            </w:tcBorders>
            <w:shd w:val="clear" w:color="auto" w:fill="auto"/>
            <w:vAlign w:val="center"/>
          </w:tcPr>
          <w:p w14:paraId="3CED8EB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17.13</w:t>
            </w:r>
          </w:p>
        </w:tc>
        <w:tc>
          <w:tcPr>
            <w:tcW w:w="1012" w:type="dxa"/>
            <w:tcBorders>
              <w:top w:val="nil"/>
              <w:left w:val="nil"/>
              <w:bottom w:val="single" w:sz="4" w:space="0" w:color="auto"/>
              <w:right w:val="single" w:sz="4" w:space="0" w:color="auto"/>
            </w:tcBorders>
            <w:vAlign w:val="center"/>
          </w:tcPr>
          <w:p w14:paraId="008968E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33.99</w:t>
            </w:r>
          </w:p>
        </w:tc>
        <w:tc>
          <w:tcPr>
            <w:tcW w:w="992" w:type="dxa"/>
            <w:tcBorders>
              <w:top w:val="nil"/>
              <w:left w:val="nil"/>
              <w:bottom w:val="single" w:sz="4" w:space="0" w:color="auto"/>
              <w:right w:val="single" w:sz="4" w:space="0" w:color="auto"/>
            </w:tcBorders>
            <w:vAlign w:val="center"/>
          </w:tcPr>
          <w:p w14:paraId="328994D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40.20</w:t>
            </w:r>
          </w:p>
        </w:tc>
      </w:tr>
      <w:tr w:rsidR="002A0DE8" w:rsidRPr="005D22E6" w14:paraId="48B47BE7" w14:textId="77777777" w:rsidTr="00992756">
        <w:trPr>
          <w:trHeight w:val="173"/>
          <w:jc w:val="center"/>
        </w:trPr>
        <w:tc>
          <w:tcPr>
            <w:tcW w:w="832" w:type="dxa"/>
            <w:vMerge/>
            <w:shd w:val="clear" w:color="auto" w:fill="auto"/>
            <w:vAlign w:val="center"/>
          </w:tcPr>
          <w:p w14:paraId="5FCB6117"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1858A7F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0.65</w:t>
            </w:r>
          </w:p>
        </w:tc>
        <w:tc>
          <w:tcPr>
            <w:tcW w:w="1098" w:type="dxa"/>
            <w:tcBorders>
              <w:top w:val="nil"/>
              <w:left w:val="nil"/>
              <w:bottom w:val="single" w:sz="4" w:space="0" w:color="auto"/>
              <w:right w:val="single" w:sz="4" w:space="0" w:color="auto"/>
            </w:tcBorders>
            <w:shd w:val="clear" w:color="auto" w:fill="auto"/>
            <w:vAlign w:val="center"/>
          </w:tcPr>
          <w:p w14:paraId="1C317FA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2.80</w:t>
            </w:r>
          </w:p>
        </w:tc>
        <w:tc>
          <w:tcPr>
            <w:tcW w:w="1098" w:type="dxa"/>
            <w:tcBorders>
              <w:top w:val="nil"/>
              <w:left w:val="nil"/>
              <w:bottom w:val="single" w:sz="4" w:space="0" w:color="auto"/>
              <w:right w:val="single" w:sz="4" w:space="0" w:color="auto"/>
            </w:tcBorders>
            <w:shd w:val="clear" w:color="auto" w:fill="auto"/>
            <w:vAlign w:val="center"/>
          </w:tcPr>
          <w:p w14:paraId="31FC303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6.15</w:t>
            </w:r>
          </w:p>
        </w:tc>
        <w:tc>
          <w:tcPr>
            <w:tcW w:w="1098" w:type="dxa"/>
            <w:tcBorders>
              <w:top w:val="nil"/>
              <w:left w:val="nil"/>
              <w:bottom w:val="single" w:sz="4" w:space="0" w:color="auto"/>
              <w:right w:val="single" w:sz="4" w:space="0" w:color="auto"/>
            </w:tcBorders>
            <w:shd w:val="clear" w:color="auto" w:fill="auto"/>
            <w:vAlign w:val="center"/>
          </w:tcPr>
          <w:p w14:paraId="32D1BCE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13.24</w:t>
            </w:r>
          </w:p>
        </w:tc>
        <w:tc>
          <w:tcPr>
            <w:tcW w:w="1103" w:type="dxa"/>
            <w:tcBorders>
              <w:top w:val="nil"/>
              <w:left w:val="nil"/>
              <w:bottom w:val="single" w:sz="4" w:space="0" w:color="auto"/>
              <w:right w:val="single" w:sz="4" w:space="0" w:color="auto"/>
            </w:tcBorders>
            <w:shd w:val="clear" w:color="auto" w:fill="auto"/>
            <w:vAlign w:val="center"/>
          </w:tcPr>
          <w:p w14:paraId="3349332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17.02</w:t>
            </w:r>
          </w:p>
        </w:tc>
        <w:tc>
          <w:tcPr>
            <w:tcW w:w="1012" w:type="dxa"/>
            <w:tcBorders>
              <w:top w:val="nil"/>
              <w:left w:val="nil"/>
              <w:bottom w:val="single" w:sz="4" w:space="0" w:color="auto"/>
              <w:right w:val="single" w:sz="4" w:space="0" w:color="auto"/>
            </w:tcBorders>
            <w:vAlign w:val="center"/>
          </w:tcPr>
          <w:p w14:paraId="1A3D1AD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33.91</w:t>
            </w:r>
          </w:p>
        </w:tc>
        <w:tc>
          <w:tcPr>
            <w:tcW w:w="992" w:type="dxa"/>
            <w:tcBorders>
              <w:top w:val="nil"/>
              <w:left w:val="nil"/>
              <w:bottom w:val="single" w:sz="4" w:space="0" w:color="auto"/>
              <w:right w:val="single" w:sz="4" w:space="0" w:color="auto"/>
            </w:tcBorders>
            <w:vAlign w:val="center"/>
          </w:tcPr>
          <w:p w14:paraId="353B8D9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40.47</w:t>
            </w:r>
          </w:p>
        </w:tc>
      </w:tr>
      <w:tr w:rsidR="002A0DE8" w:rsidRPr="005D22E6" w14:paraId="4D73994B" w14:textId="77777777" w:rsidTr="00992756">
        <w:trPr>
          <w:trHeight w:val="179"/>
          <w:jc w:val="center"/>
        </w:trPr>
        <w:tc>
          <w:tcPr>
            <w:tcW w:w="832" w:type="dxa"/>
            <w:vMerge w:val="restart"/>
            <w:shd w:val="clear" w:color="auto" w:fill="auto"/>
            <w:vAlign w:val="center"/>
          </w:tcPr>
          <w:p w14:paraId="4F022BC7"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4</w:t>
            </w:r>
          </w:p>
        </w:tc>
        <w:tc>
          <w:tcPr>
            <w:tcW w:w="1097" w:type="dxa"/>
            <w:tcBorders>
              <w:top w:val="nil"/>
              <w:left w:val="single" w:sz="4" w:space="0" w:color="auto"/>
              <w:bottom w:val="single" w:sz="4" w:space="0" w:color="auto"/>
              <w:right w:val="single" w:sz="4" w:space="0" w:color="auto"/>
            </w:tcBorders>
            <w:shd w:val="clear" w:color="auto" w:fill="auto"/>
            <w:vAlign w:val="center"/>
          </w:tcPr>
          <w:p w14:paraId="2156497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0.82</w:t>
            </w:r>
          </w:p>
        </w:tc>
        <w:tc>
          <w:tcPr>
            <w:tcW w:w="1098" w:type="dxa"/>
            <w:tcBorders>
              <w:top w:val="nil"/>
              <w:left w:val="nil"/>
              <w:bottom w:val="single" w:sz="4" w:space="0" w:color="auto"/>
              <w:right w:val="single" w:sz="4" w:space="0" w:color="auto"/>
            </w:tcBorders>
            <w:shd w:val="clear" w:color="auto" w:fill="auto"/>
            <w:vAlign w:val="center"/>
          </w:tcPr>
          <w:p w14:paraId="064DEBD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2.84</w:t>
            </w:r>
          </w:p>
        </w:tc>
        <w:tc>
          <w:tcPr>
            <w:tcW w:w="1098" w:type="dxa"/>
            <w:tcBorders>
              <w:top w:val="nil"/>
              <w:left w:val="nil"/>
              <w:bottom w:val="single" w:sz="4" w:space="0" w:color="auto"/>
              <w:right w:val="single" w:sz="4" w:space="0" w:color="auto"/>
            </w:tcBorders>
            <w:shd w:val="clear" w:color="auto" w:fill="auto"/>
            <w:vAlign w:val="center"/>
          </w:tcPr>
          <w:p w14:paraId="765E8AF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6.38</w:t>
            </w:r>
          </w:p>
        </w:tc>
        <w:tc>
          <w:tcPr>
            <w:tcW w:w="1098" w:type="dxa"/>
            <w:tcBorders>
              <w:top w:val="nil"/>
              <w:left w:val="nil"/>
              <w:bottom w:val="single" w:sz="4" w:space="0" w:color="auto"/>
              <w:right w:val="single" w:sz="4" w:space="0" w:color="auto"/>
            </w:tcBorders>
            <w:shd w:val="clear" w:color="auto" w:fill="auto"/>
            <w:vAlign w:val="center"/>
          </w:tcPr>
          <w:p w14:paraId="24065EC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13.30</w:t>
            </w:r>
          </w:p>
        </w:tc>
        <w:tc>
          <w:tcPr>
            <w:tcW w:w="1103" w:type="dxa"/>
            <w:tcBorders>
              <w:top w:val="nil"/>
              <w:left w:val="nil"/>
              <w:bottom w:val="single" w:sz="4" w:space="0" w:color="auto"/>
              <w:right w:val="single" w:sz="4" w:space="0" w:color="auto"/>
            </w:tcBorders>
            <w:shd w:val="clear" w:color="auto" w:fill="auto"/>
            <w:vAlign w:val="center"/>
          </w:tcPr>
          <w:p w14:paraId="236FD17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16.99</w:t>
            </w:r>
          </w:p>
        </w:tc>
        <w:tc>
          <w:tcPr>
            <w:tcW w:w="1012" w:type="dxa"/>
            <w:tcBorders>
              <w:top w:val="nil"/>
              <w:left w:val="nil"/>
              <w:bottom w:val="single" w:sz="4" w:space="0" w:color="auto"/>
              <w:right w:val="single" w:sz="4" w:space="0" w:color="auto"/>
            </w:tcBorders>
            <w:vAlign w:val="center"/>
          </w:tcPr>
          <w:p w14:paraId="13C47B4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33.83</w:t>
            </w:r>
          </w:p>
        </w:tc>
        <w:tc>
          <w:tcPr>
            <w:tcW w:w="992" w:type="dxa"/>
            <w:tcBorders>
              <w:top w:val="nil"/>
              <w:left w:val="nil"/>
              <w:bottom w:val="single" w:sz="4" w:space="0" w:color="auto"/>
              <w:right w:val="single" w:sz="4" w:space="0" w:color="auto"/>
            </w:tcBorders>
            <w:vAlign w:val="center"/>
          </w:tcPr>
          <w:p w14:paraId="73BA4EF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40.60</w:t>
            </w:r>
          </w:p>
        </w:tc>
      </w:tr>
      <w:tr w:rsidR="002A0DE8" w:rsidRPr="005D22E6" w14:paraId="7C6A9C17" w14:textId="77777777" w:rsidTr="00992756">
        <w:trPr>
          <w:trHeight w:val="173"/>
          <w:jc w:val="center"/>
        </w:trPr>
        <w:tc>
          <w:tcPr>
            <w:tcW w:w="832" w:type="dxa"/>
            <w:vMerge/>
            <w:shd w:val="clear" w:color="auto" w:fill="auto"/>
            <w:vAlign w:val="center"/>
          </w:tcPr>
          <w:p w14:paraId="66CCA3FE"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3BC27A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0.83</w:t>
            </w:r>
          </w:p>
        </w:tc>
        <w:tc>
          <w:tcPr>
            <w:tcW w:w="1098" w:type="dxa"/>
            <w:tcBorders>
              <w:top w:val="nil"/>
              <w:left w:val="nil"/>
              <w:bottom w:val="single" w:sz="4" w:space="0" w:color="auto"/>
              <w:right w:val="single" w:sz="4" w:space="0" w:color="auto"/>
            </w:tcBorders>
            <w:shd w:val="clear" w:color="auto" w:fill="auto"/>
            <w:vAlign w:val="center"/>
          </w:tcPr>
          <w:p w14:paraId="74493BF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2.99</w:t>
            </w:r>
          </w:p>
        </w:tc>
        <w:tc>
          <w:tcPr>
            <w:tcW w:w="1098" w:type="dxa"/>
            <w:tcBorders>
              <w:top w:val="nil"/>
              <w:left w:val="nil"/>
              <w:bottom w:val="single" w:sz="4" w:space="0" w:color="auto"/>
              <w:right w:val="single" w:sz="4" w:space="0" w:color="auto"/>
            </w:tcBorders>
            <w:shd w:val="clear" w:color="auto" w:fill="auto"/>
            <w:vAlign w:val="center"/>
          </w:tcPr>
          <w:p w14:paraId="388DF22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6.36</w:t>
            </w:r>
          </w:p>
        </w:tc>
        <w:tc>
          <w:tcPr>
            <w:tcW w:w="1098" w:type="dxa"/>
            <w:tcBorders>
              <w:top w:val="nil"/>
              <w:left w:val="nil"/>
              <w:bottom w:val="single" w:sz="4" w:space="0" w:color="auto"/>
              <w:right w:val="single" w:sz="4" w:space="0" w:color="auto"/>
            </w:tcBorders>
            <w:shd w:val="clear" w:color="auto" w:fill="auto"/>
            <w:vAlign w:val="center"/>
          </w:tcPr>
          <w:p w14:paraId="388ECAC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13.50</w:t>
            </w:r>
          </w:p>
        </w:tc>
        <w:tc>
          <w:tcPr>
            <w:tcW w:w="1103" w:type="dxa"/>
            <w:tcBorders>
              <w:top w:val="nil"/>
              <w:left w:val="nil"/>
              <w:bottom w:val="single" w:sz="4" w:space="0" w:color="auto"/>
              <w:right w:val="single" w:sz="4" w:space="0" w:color="auto"/>
            </w:tcBorders>
            <w:shd w:val="clear" w:color="auto" w:fill="auto"/>
            <w:vAlign w:val="center"/>
          </w:tcPr>
          <w:p w14:paraId="5907337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16.99</w:t>
            </w:r>
          </w:p>
        </w:tc>
        <w:tc>
          <w:tcPr>
            <w:tcW w:w="1012" w:type="dxa"/>
            <w:tcBorders>
              <w:top w:val="nil"/>
              <w:left w:val="nil"/>
              <w:bottom w:val="single" w:sz="4" w:space="0" w:color="auto"/>
              <w:right w:val="single" w:sz="4" w:space="0" w:color="auto"/>
            </w:tcBorders>
            <w:vAlign w:val="center"/>
          </w:tcPr>
          <w:p w14:paraId="044EA5B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33.83</w:t>
            </w:r>
          </w:p>
        </w:tc>
        <w:tc>
          <w:tcPr>
            <w:tcW w:w="992" w:type="dxa"/>
            <w:tcBorders>
              <w:top w:val="nil"/>
              <w:left w:val="nil"/>
              <w:bottom w:val="single" w:sz="4" w:space="0" w:color="auto"/>
              <w:right w:val="single" w:sz="4" w:space="0" w:color="auto"/>
            </w:tcBorders>
            <w:vAlign w:val="center"/>
          </w:tcPr>
          <w:p w14:paraId="5838218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40.71</w:t>
            </w:r>
          </w:p>
        </w:tc>
      </w:tr>
      <w:tr w:rsidR="002A0DE8" w:rsidRPr="005D22E6" w14:paraId="6C49B5C4" w14:textId="77777777" w:rsidTr="00992756">
        <w:trPr>
          <w:trHeight w:val="173"/>
          <w:jc w:val="center"/>
        </w:trPr>
        <w:tc>
          <w:tcPr>
            <w:tcW w:w="832" w:type="dxa"/>
            <w:vMerge/>
            <w:shd w:val="clear" w:color="auto" w:fill="auto"/>
            <w:vAlign w:val="center"/>
          </w:tcPr>
          <w:p w14:paraId="20F32813"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2B55355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0.80</w:t>
            </w:r>
          </w:p>
        </w:tc>
        <w:tc>
          <w:tcPr>
            <w:tcW w:w="1098" w:type="dxa"/>
            <w:tcBorders>
              <w:top w:val="nil"/>
              <w:left w:val="nil"/>
              <w:bottom w:val="single" w:sz="4" w:space="0" w:color="auto"/>
              <w:right w:val="single" w:sz="4" w:space="0" w:color="auto"/>
            </w:tcBorders>
            <w:shd w:val="clear" w:color="auto" w:fill="auto"/>
            <w:vAlign w:val="center"/>
          </w:tcPr>
          <w:p w14:paraId="7EEC660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2.98</w:t>
            </w:r>
          </w:p>
        </w:tc>
        <w:tc>
          <w:tcPr>
            <w:tcW w:w="1098" w:type="dxa"/>
            <w:tcBorders>
              <w:top w:val="nil"/>
              <w:left w:val="nil"/>
              <w:bottom w:val="single" w:sz="4" w:space="0" w:color="auto"/>
              <w:right w:val="single" w:sz="4" w:space="0" w:color="auto"/>
            </w:tcBorders>
            <w:shd w:val="clear" w:color="auto" w:fill="auto"/>
            <w:vAlign w:val="center"/>
          </w:tcPr>
          <w:p w14:paraId="4E1229E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6.39</w:t>
            </w:r>
          </w:p>
        </w:tc>
        <w:tc>
          <w:tcPr>
            <w:tcW w:w="1098" w:type="dxa"/>
            <w:tcBorders>
              <w:top w:val="nil"/>
              <w:left w:val="nil"/>
              <w:bottom w:val="single" w:sz="4" w:space="0" w:color="auto"/>
              <w:right w:val="single" w:sz="4" w:space="0" w:color="auto"/>
            </w:tcBorders>
            <w:shd w:val="clear" w:color="auto" w:fill="auto"/>
            <w:vAlign w:val="center"/>
          </w:tcPr>
          <w:p w14:paraId="29DF42C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13.38</w:t>
            </w:r>
          </w:p>
        </w:tc>
        <w:tc>
          <w:tcPr>
            <w:tcW w:w="1103" w:type="dxa"/>
            <w:tcBorders>
              <w:top w:val="nil"/>
              <w:left w:val="nil"/>
              <w:bottom w:val="single" w:sz="4" w:space="0" w:color="auto"/>
              <w:right w:val="single" w:sz="4" w:space="0" w:color="auto"/>
            </w:tcBorders>
            <w:shd w:val="clear" w:color="auto" w:fill="auto"/>
            <w:vAlign w:val="center"/>
          </w:tcPr>
          <w:p w14:paraId="7512031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17.07</w:t>
            </w:r>
          </w:p>
        </w:tc>
        <w:tc>
          <w:tcPr>
            <w:tcW w:w="1012" w:type="dxa"/>
            <w:tcBorders>
              <w:top w:val="nil"/>
              <w:left w:val="nil"/>
              <w:bottom w:val="single" w:sz="4" w:space="0" w:color="auto"/>
              <w:right w:val="single" w:sz="4" w:space="0" w:color="auto"/>
            </w:tcBorders>
            <w:vAlign w:val="center"/>
          </w:tcPr>
          <w:p w14:paraId="4F0E778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33.75</w:t>
            </w:r>
          </w:p>
        </w:tc>
        <w:tc>
          <w:tcPr>
            <w:tcW w:w="992" w:type="dxa"/>
            <w:tcBorders>
              <w:top w:val="nil"/>
              <w:left w:val="nil"/>
              <w:bottom w:val="single" w:sz="4" w:space="0" w:color="auto"/>
              <w:right w:val="single" w:sz="4" w:space="0" w:color="auto"/>
            </w:tcBorders>
            <w:vAlign w:val="center"/>
          </w:tcPr>
          <w:p w14:paraId="790C69F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40.62</w:t>
            </w:r>
          </w:p>
        </w:tc>
      </w:tr>
      <w:tr w:rsidR="002A0DE8" w:rsidRPr="005D22E6" w14:paraId="6290753A" w14:textId="77777777" w:rsidTr="00992756">
        <w:trPr>
          <w:trHeight w:val="173"/>
          <w:jc w:val="center"/>
        </w:trPr>
        <w:tc>
          <w:tcPr>
            <w:tcW w:w="832" w:type="dxa"/>
            <w:vMerge/>
            <w:shd w:val="clear" w:color="auto" w:fill="auto"/>
            <w:vAlign w:val="center"/>
          </w:tcPr>
          <w:p w14:paraId="62CF116B"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3CDC216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0.78</w:t>
            </w:r>
          </w:p>
        </w:tc>
        <w:tc>
          <w:tcPr>
            <w:tcW w:w="1098" w:type="dxa"/>
            <w:tcBorders>
              <w:top w:val="nil"/>
              <w:left w:val="nil"/>
              <w:bottom w:val="single" w:sz="4" w:space="0" w:color="auto"/>
              <w:right w:val="single" w:sz="4" w:space="0" w:color="auto"/>
            </w:tcBorders>
            <w:shd w:val="clear" w:color="auto" w:fill="auto"/>
            <w:vAlign w:val="center"/>
          </w:tcPr>
          <w:p w14:paraId="63F9EC4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2.93</w:t>
            </w:r>
          </w:p>
        </w:tc>
        <w:tc>
          <w:tcPr>
            <w:tcW w:w="1098" w:type="dxa"/>
            <w:tcBorders>
              <w:top w:val="nil"/>
              <w:left w:val="nil"/>
              <w:bottom w:val="single" w:sz="4" w:space="0" w:color="auto"/>
              <w:right w:val="single" w:sz="4" w:space="0" w:color="auto"/>
            </w:tcBorders>
            <w:shd w:val="clear" w:color="auto" w:fill="auto"/>
            <w:vAlign w:val="center"/>
          </w:tcPr>
          <w:p w14:paraId="05E9DEF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6.29</w:t>
            </w:r>
          </w:p>
        </w:tc>
        <w:tc>
          <w:tcPr>
            <w:tcW w:w="1098" w:type="dxa"/>
            <w:tcBorders>
              <w:top w:val="nil"/>
              <w:left w:val="nil"/>
              <w:bottom w:val="single" w:sz="4" w:space="0" w:color="auto"/>
              <w:right w:val="single" w:sz="4" w:space="0" w:color="auto"/>
            </w:tcBorders>
            <w:shd w:val="clear" w:color="auto" w:fill="auto"/>
            <w:vAlign w:val="center"/>
          </w:tcPr>
          <w:p w14:paraId="781BAA0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13.48</w:t>
            </w:r>
          </w:p>
        </w:tc>
        <w:tc>
          <w:tcPr>
            <w:tcW w:w="1103" w:type="dxa"/>
            <w:tcBorders>
              <w:top w:val="nil"/>
              <w:left w:val="nil"/>
              <w:bottom w:val="single" w:sz="4" w:space="0" w:color="auto"/>
              <w:right w:val="single" w:sz="4" w:space="0" w:color="auto"/>
            </w:tcBorders>
            <w:shd w:val="clear" w:color="auto" w:fill="auto"/>
            <w:vAlign w:val="center"/>
          </w:tcPr>
          <w:p w14:paraId="5855E75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16.87</w:t>
            </w:r>
          </w:p>
        </w:tc>
        <w:tc>
          <w:tcPr>
            <w:tcW w:w="1012" w:type="dxa"/>
            <w:tcBorders>
              <w:top w:val="nil"/>
              <w:left w:val="nil"/>
              <w:bottom w:val="single" w:sz="4" w:space="0" w:color="auto"/>
              <w:right w:val="single" w:sz="4" w:space="0" w:color="auto"/>
            </w:tcBorders>
            <w:vAlign w:val="center"/>
          </w:tcPr>
          <w:p w14:paraId="7299D67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33.63</w:t>
            </w:r>
          </w:p>
        </w:tc>
        <w:tc>
          <w:tcPr>
            <w:tcW w:w="992" w:type="dxa"/>
            <w:tcBorders>
              <w:top w:val="nil"/>
              <w:left w:val="nil"/>
              <w:bottom w:val="single" w:sz="4" w:space="0" w:color="auto"/>
              <w:right w:val="single" w:sz="4" w:space="0" w:color="auto"/>
            </w:tcBorders>
            <w:vAlign w:val="center"/>
          </w:tcPr>
          <w:p w14:paraId="12C6755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40.68</w:t>
            </w:r>
          </w:p>
        </w:tc>
      </w:tr>
      <w:tr w:rsidR="002A0DE8" w:rsidRPr="005D22E6" w14:paraId="79949B3C" w14:textId="77777777" w:rsidTr="00992756">
        <w:trPr>
          <w:trHeight w:val="179"/>
          <w:jc w:val="center"/>
        </w:trPr>
        <w:tc>
          <w:tcPr>
            <w:tcW w:w="832" w:type="dxa"/>
            <w:vMerge w:val="restart"/>
            <w:shd w:val="clear" w:color="auto" w:fill="auto"/>
            <w:vAlign w:val="center"/>
          </w:tcPr>
          <w:p w14:paraId="5AEE1E1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5</w:t>
            </w:r>
          </w:p>
        </w:tc>
        <w:tc>
          <w:tcPr>
            <w:tcW w:w="1097" w:type="dxa"/>
            <w:tcBorders>
              <w:top w:val="nil"/>
              <w:left w:val="single" w:sz="4" w:space="0" w:color="auto"/>
              <w:bottom w:val="single" w:sz="4" w:space="0" w:color="auto"/>
              <w:right w:val="single" w:sz="4" w:space="0" w:color="auto"/>
            </w:tcBorders>
            <w:shd w:val="clear" w:color="auto" w:fill="auto"/>
            <w:vAlign w:val="center"/>
          </w:tcPr>
          <w:p w14:paraId="7C063BE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0.72</w:t>
            </w:r>
          </w:p>
        </w:tc>
        <w:tc>
          <w:tcPr>
            <w:tcW w:w="1098" w:type="dxa"/>
            <w:tcBorders>
              <w:top w:val="nil"/>
              <w:left w:val="nil"/>
              <w:bottom w:val="single" w:sz="4" w:space="0" w:color="auto"/>
              <w:right w:val="single" w:sz="4" w:space="0" w:color="auto"/>
            </w:tcBorders>
            <w:shd w:val="clear" w:color="auto" w:fill="auto"/>
            <w:vAlign w:val="center"/>
          </w:tcPr>
          <w:p w14:paraId="16346F4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3.00</w:t>
            </w:r>
          </w:p>
        </w:tc>
        <w:tc>
          <w:tcPr>
            <w:tcW w:w="1098" w:type="dxa"/>
            <w:tcBorders>
              <w:top w:val="nil"/>
              <w:left w:val="nil"/>
              <w:bottom w:val="single" w:sz="4" w:space="0" w:color="auto"/>
              <w:right w:val="single" w:sz="4" w:space="0" w:color="auto"/>
            </w:tcBorders>
            <w:shd w:val="clear" w:color="auto" w:fill="auto"/>
            <w:vAlign w:val="center"/>
          </w:tcPr>
          <w:p w14:paraId="749CA06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6.50</w:t>
            </w:r>
          </w:p>
        </w:tc>
        <w:tc>
          <w:tcPr>
            <w:tcW w:w="1098" w:type="dxa"/>
            <w:tcBorders>
              <w:top w:val="nil"/>
              <w:left w:val="nil"/>
              <w:bottom w:val="single" w:sz="4" w:space="0" w:color="auto"/>
              <w:right w:val="single" w:sz="4" w:space="0" w:color="auto"/>
            </w:tcBorders>
            <w:shd w:val="clear" w:color="auto" w:fill="auto"/>
            <w:vAlign w:val="center"/>
          </w:tcPr>
          <w:p w14:paraId="37C3359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13.19</w:t>
            </w:r>
          </w:p>
        </w:tc>
        <w:tc>
          <w:tcPr>
            <w:tcW w:w="1103" w:type="dxa"/>
            <w:tcBorders>
              <w:top w:val="nil"/>
              <w:left w:val="nil"/>
              <w:bottom w:val="single" w:sz="4" w:space="0" w:color="auto"/>
              <w:right w:val="single" w:sz="4" w:space="0" w:color="auto"/>
            </w:tcBorders>
            <w:shd w:val="clear" w:color="auto" w:fill="auto"/>
            <w:vAlign w:val="center"/>
          </w:tcPr>
          <w:p w14:paraId="56EB9A2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17.26</w:t>
            </w:r>
          </w:p>
        </w:tc>
        <w:tc>
          <w:tcPr>
            <w:tcW w:w="1012" w:type="dxa"/>
            <w:tcBorders>
              <w:top w:val="nil"/>
              <w:left w:val="nil"/>
              <w:bottom w:val="single" w:sz="4" w:space="0" w:color="auto"/>
              <w:right w:val="single" w:sz="4" w:space="0" w:color="auto"/>
            </w:tcBorders>
            <w:vAlign w:val="center"/>
          </w:tcPr>
          <w:p w14:paraId="2784A74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33.66</w:t>
            </w:r>
          </w:p>
        </w:tc>
        <w:tc>
          <w:tcPr>
            <w:tcW w:w="992" w:type="dxa"/>
            <w:tcBorders>
              <w:top w:val="nil"/>
              <w:left w:val="nil"/>
              <w:bottom w:val="single" w:sz="4" w:space="0" w:color="auto"/>
              <w:right w:val="single" w:sz="4" w:space="0" w:color="auto"/>
            </w:tcBorders>
            <w:vAlign w:val="center"/>
          </w:tcPr>
          <w:p w14:paraId="2712069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40.46</w:t>
            </w:r>
          </w:p>
        </w:tc>
      </w:tr>
      <w:tr w:rsidR="002A0DE8" w:rsidRPr="005D22E6" w14:paraId="53D78F6A" w14:textId="77777777" w:rsidTr="00992756">
        <w:trPr>
          <w:trHeight w:val="173"/>
          <w:jc w:val="center"/>
        </w:trPr>
        <w:tc>
          <w:tcPr>
            <w:tcW w:w="832" w:type="dxa"/>
            <w:vMerge/>
            <w:shd w:val="clear" w:color="auto" w:fill="auto"/>
            <w:vAlign w:val="center"/>
          </w:tcPr>
          <w:p w14:paraId="551443B5" w14:textId="77777777" w:rsidR="002A0DE8" w:rsidRPr="005D22E6" w:rsidRDefault="002A0DE8">
            <w:pPr>
              <w:jc w:val="center"/>
              <w:rPr>
                <w:rFonts w:ascii="宋体" w:eastAsia="宋体" w:hAnsi="宋体" w:cs="Times New Roman"/>
                <w:szCs w:val="21"/>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765AC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0.71</w:t>
            </w:r>
          </w:p>
        </w:tc>
        <w:tc>
          <w:tcPr>
            <w:tcW w:w="1098" w:type="dxa"/>
            <w:tcBorders>
              <w:top w:val="single" w:sz="4" w:space="0" w:color="auto"/>
              <w:left w:val="nil"/>
              <w:bottom w:val="single" w:sz="4" w:space="0" w:color="auto"/>
              <w:right w:val="single" w:sz="4" w:space="0" w:color="auto"/>
            </w:tcBorders>
            <w:shd w:val="clear" w:color="auto" w:fill="auto"/>
            <w:vAlign w:val="center"/>
          </w:tcPr>
          <w:p w14:paraId="2885974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2.98</w:t>
            </w:r>
          </w:p>
        </w:tc>
        <w:tc>
          <w:tcPr>
            <w:tcW w:w="1098" w:type="dxa"/>
            <w:tcBorders>
              <w:top w:val="single" w:sz="4" w:space="0" w:color="auto"/>
              <w:left w:val="nil"/>
              <w:bottom w:val="single" w:sz="4" w:space="0" w:color="auto"/>
              <w:right w:val="single" w:sz="4" w:space="0" w:color="auto"/>
            </w:tcBorders>
            <w:shd w:val="clear" w:color="auto" w:fill="auto"/>
            <w:vAlign w:val="center"/>
          </w:tcPr>
          <w:p w14:paraId="280A4D5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6.46</w:t>
            </w:r>
          </w:p>
        </w:tc>
        <w:tc>
          <w:tcPr>
            <w:tcW w:w="1098" w:type="dxa"/>
            <w:tcBorders>
              <w:top w:val="single" w:sz="4" w:space="0" w:color="auto"/>
              <w:left w:val="nil"/>
              <w:bottom w:val="single" w:sz="4" w:space="0" w:color="auto"/>
              <w:right w:val="single" w:sz="4" w:space="0" w:color="auto"/>
            </w:tcBorders>
            <w:shd w:val="clear" w:color="auto" w:fill="auto"/>
            <w:vAlign w:val="center"/>
          </w:tcPr>
          <w:p w14:paraId="2E462A2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13.20</w:t>
            </w:r>
          </w:p>
        </w:tc>
        <w:tc>
          <w:tcPr>
            <w:tcW w:w="1103" w:type="dxa"/>
            <w:tcBorders>
              <w:top w:val="single" w:sz="4" w:space="0" w:color="auto"/>
              <w:left w:val="nil"/>
              <w:bottom w:val="single" w:sz="4" w:space="0" w:color="auto"/>
              <w:right w:val="single" w:sz="4" w:space="0" w:color="auto"/>
            </w:tcBorders>
            <w:shd w:val="clear" w:color="auto" w:fill="auto"/>
            <w:vAlign w:val="center"/>
          </w:tcPr>
          <w:p w14:paraId="54CBACF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17.24</w:t>
            </w:r>
          </w:p>
        </w:tc>
        <w:tc>
          <w:tcPr>
            <w:tcW w:w="1012" w:type="dxa"/>
            <w:tcBorders>
              <w:top w:val="single" w:sz="4" w:space="0" w:color="auto"/>
              <w:left w:val="nil"/>
              <w:bottom w:val="single" w:sz="4" w:space="0" w:color="auto"/>
              <w:right w:val="single" w:sz="4" w:space="0" w:color="auto"/>
            </w:tcBorders>
            <w:vAlign w:val="center"/>
          </w:tcPr>
          <w:p w14:paraId="24B7BD0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33.64</w:t>
            </w:r>
          </w:p>
        </w:tc>
        <w:tc>
          <w:tcPr>
            <w:tcW w:w="992" w:type="dxa"/>
            <w:tcBorders>
              <w:top w:val="single" w:sz="4" w:space="0" w:color="auto"/>
              <w:left w:val="nil"/>
              <w:bottom w:val="single" w:sz="4" w:space="0" w:color="auto"/>
              <w:right w:val="single" w:sz="4" w:space="0" w:color="auto"/>
            </w:tcBorders>
            <w:vAlign w:val="center"/>
          </w:tcPr>
          <w:p w14:paraId="37DA7C1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40.45</w:t>
            </w:r>
          </w:p>
        </w:tc>
      </w:tr>
      <w:tr w:rsidR="002A0DE8" w:rsidRPr="005D22E6" w14:paraId="480FBF78" w14:textId="77777777" w:rsidTr="00992756">
        <w:trPr>
          <w:trHeight w:val="173"/>
          <w:jc w:val="center"/>
        </w:trPr>
        <w:tc>
          <w:tcPr>
            <w:tcW w:w="832" w:type="dxa"/>
            <w:vMerge/>
            <w:shd w:val="clear" w:color="auto" w:fill="auto"/>
            <w:vAlign w:val="center"/>
          </w:tcPr>
          <w:p w14:paraId="0FA5C887"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660A8F8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0.72</w:t>
            </w:r>
          </w:p>
        </w:tc>
        <w:tc>
          <w:tcPr>
            <w:tcW w:w="1098" w:type="dxa"/>
            <w:tcBorders>
              <w:top w:val="nil"/>
              <w:left w:val="nil"/>
              <w:bottom w:val="single" w:sz="4" w:space="0" w:color="auto"/>
              <w:right w:val="single" w:sz="4" w:space="0" w:color="auto"/>
            </w:tcBorders>
            <w:shd w:val="clear" w:color="auto" w:fill="auto"/>
            <w:vAlign w:val="center"/>
          </w:tcPr>
          <w:p w14:paraId="3E31EA0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2.90</w:t>
            </w:r>
          </w:p>
        </w:tc>
        <w:tc>
          <w:tcPr>
            <w:tcW w:w="1098" w:type="dxa"/>
            <w:tcBorders>
              <w:top w:val="nil"/>
              <w:left w:val="nil"/>
              <w:bottom w:val="single" w:sz="4" w:space="0" w:color="auto"/>
              <w:right w:val="single" w:sz="4" w:space="0" w:color="auto"/>
            </w:tcBorders>
            <w:shd w:val="clear" w:color="auto" w:fill="auto"/>
            <w:vAlign w:val="center"/>
          </w:tcPr>
          <w:p w14:paraId="1BEB747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6.40</w:t>
            </w:r>
          </w:p>
        </w:tc>
        <w:tc>
          <w:tcPr>
            <w:tcW w:w="1098" w:type="dxa"/>
            <w:tcBorders>
              <w:top w:val="nil"/>
              <w:left w:val="nil"/>
              <w:bottom w:val="single" w:sz="4" w:space="0" w:color="auto"/>
              <w:right w:val="single" w:sz="4" w:space="0" w:color="auto"/>
            </w:tcBorders>
            <w:shd w:val="clear" w:color="auto" w:fill="auto"/>
            <w:vAlign w:val="center"/>
          </w:tcPr>
          <w:p w14:paraId="32DFF15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13.18</w:t>
            </w:r>
          </w:p>
        </w:tc>
        <w:tc>
          <w:tcPr>
            <w:tcW w:w="1103" w:type="dxa"/>
            <w:tcBorders>
              <w:top w:val="nil"/>
              <w:left w:val="nil"/>
              <w:bottom w:val="single" w:sz="4" w:space="0" w:color="auto"/>
              <w:right w:val="single" w:sz="4" w:space="0" w:color="auto"/>
            </w:tcBorders>
            <w:shd w:val="clear" w:color="auto" w:fill="auto"/>
            <w:vAlign w:val="center"/>
          </w:tcPr>
          <w:p w14:paraId="543A76F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17.27</w:t>
            </w:r>
          </w:p>
        </w:tc>
        <w:tc>
          <w:tcPr>
            <w:tcW w:w="1012" w:type="dxa"/>
            <w:tcBorders>
              <w:top w:val="nil"/>
              <w:left w:val="nil"/>
              <w:bottom w:val="single" w:sz="4" w:space="0" w:color="auto"/>
              <w:right w:val="single" w:sz="4" w:space="0" w:color="auto"/>
            </w:tcBorders>
            <w:vAlign w:val="center"/>
          </w:tcPr>
          <w:p w14:paraId="61F2ABD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33.67</w:t>
            </w:r>
          </w:p>
        </w:tc>
        <w:tc>
          <w:tcPr>
            <w:tcW w:w="992" w:type="dxa"/>
            <w:tcBorders>
              <w:top w:val="nil"/>
              <w:left w:val="nil"/>
              <w:bottom w:val="single" w:sz="4" w:space="0" w:color="auto"/>
              <w:right w:val="single" w:sz="4" w:space="0" w:color="auto"/>
            </w:tcBorders>
            <w:vAlign w:val="center"/>
          </w:tcPr>
          <w:p w14:paraId="35B6FCD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40.55</w:t>
            </w:r>
          </w:p>
        </w:tc>
      </w:tr>
      <w:tr w:rsidR="002A0DE8" w:rsidRPr="005D22E6" w14:paraId="70264831" w14:textId="77777777" w:rsidTr="00992756">
        <w:trPr>
          <w:trHeight w:val="173"/>
          <w:jc w:val="center"/>
        </w:trPr>
        <w:tc>
          <w:tcPr>
            <w:tcW w:w="832" w:type="dxa"/>
            <w:vMerge/>
            <w:shd w:val="clear" w:color="auto" w:fill="auto"/>
            <w:vAlign w:val="center"/>
          </w:tcPr>
          <w:p w14:paraId="1F312AE0"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3C46836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0.70</w:t>
            </w:r>
          </w:p>
        </w:tc>
        <w:tc>
          <w:tcPr>
            <w:tcW w:w="1098" w:type="dxa"/>
            <w:tcBorders>
              <w:top w:val="nil"/>
              <w:left w:val="nil"/>
              <w:bottom w:val="single" w:sz="4" w:space="0" w:color="auto"/>
              <w:right w:val="single" w:sz="4" w:space="0" w:color="auto"/>
            </w:tcBorders>
            <w:shd w:val="clear" w:color="auto" w:fill="auto"/>
            <w:vAlign w:val="center"/>
          </w:tcPr>
          <w:p w14:paraId="782BF0D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2.89</w:t>
            </w:r>
          </w:p>
        </w:tc>
        <w:tc>
          <w:tcPr>
            <w:tcW w:w="1098" w:type="dxa"/>
            <w:tcBorders>
              <w:top w:val="nil"/>
              <w:left w:val="nil"/>
              <w:bottom w:val="single" w:sz="4" w:space="0" w:color="auto"/>
              <w:right w:val="single" w:sz="4" w:space="0" w:color="auto"/>
            </w:tcBorders>
            <w:shd w:val="clear" w:color="auto" w:fill="auto"/>
            <w:vAlign w:val="center"/>
          </w:tcPr>
          <w:p w14:paraId="48C2591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6.48</w:t>
            </w:r>
          </w:p>
        </w:tc>
        <w:tc>
          <w:tcPr>
            <w:tcW w:w="1098" w:type="dxa"/>
            <w:tcBorders>
              <w:top w:val="nil"/>
              <w:left w:val="nil"/>
              <w:bottom w:val="single" w:sz="4" w:space="0" w:color="auto"/>
              <w:right w:val="single" w:sz="4" w:space="0" w:color="auto"/>
            </w:tcBorders>
            <w:shd w:val="clear" w:color="auto" w:fill="auto"/>
            <w:vAlign w:val="center"/>
          </w:tcPr>
          <w:p w14:paraId="62DFC49B"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13.19</w:t>
            </w:r>
          </w:p>
        </w:tc>
        <w:tc>
          <w:tcPr>
            <w:tcW w:w="1103" w:type="dxa"/>
            <w:tcBorders>
              <w:top w:val="nil"/>
              <w:left w:val="nil"/>
              <w:bottom w:val="single" w:sz="4" w:space="0" w:color="auto"/>
              <w:right w:val="single" w:sz="4" w:space="0" w:color="auto"/>
            </w:tcBorders>
            <w:shd w:val="clear" w:color="auto" w:fill="auto"/>
            <w:vAlign w:val="center"/>
          </w:tcPr>
          <w:p w14:paraId="3D86499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17.26</w:t>
            </w:r>
          </w:p>
        </w:tc>
        <w:tc>
          <w:tcPr>
            <w:tcW w:w="1012" w:type="dxa"/>
            <w:tcBorders>
              <w:top w:val="nil"/>
              <w:left w:val="nil"/>
              <w:bottom w:val="single" w:sz="4" w:space="0" w:color="auto"/>
              <w:right w:val="single" w:sz="4" w:space="0" w:color="auto"/>
            </w:tcBorders>
            <w:vAlign w:val="center"/>
          </w:tcPr>
          <w:p w14:paraId="63C1490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33.65</w:t>
            </w:r>
          </w:p>
        </w:tc>
        <w:tc>
          <w:tcPr>
            <w:tcW w:w="992" w:type="dxa"/>
            <w:tcBorders>
              <w:top w:val="nil"/>
              <w:left w:val="nil"/>
              <w:bottom w:val="single" w:sz="4" w:space="0" w:color="auto"/>
              <w:right w:val="single" w:sz="4" w:space="0" w:color="auto"/>
            </w:tcBorders>
            <w:vAlign w:val="center"/>
          </w:tcPr>
          <w:p w14:paraId="091B1CA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40.33</w:t>
            </w:r>
          </w:p>
        </w:tc>
      </w:tr>
      <w:tr w:rsidR="002A0DE8" w:rsidRPr="005D22E6" w14:paraId="1BFCDC89" w14:textId="77777777" w:rsidTr="00992756">
        <w:trPr>
          <w:trHeight w:val="179"/>
          <w:jc w:val="center"/>
        </w:trPr>
        <w:tc>
          <w:tcPr>
            <w:tcW w:w="832" w:type="dxa"/>
            <w:vMerge w:val="restart"/>
            <w:shd w:val="clear" w:color="auto" w:fill="auto"/>
            <w:vAlign w:val="center"/>
          </w:tcPr>
          <w:p w14:paraId="07AC7BBC"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6</w:t>
            </w:r>
          </w:p>
        </w:tc>
        <w:tc>
          <w:tcPr>
            <w:tcW w:w="1097" w:type="dxa"/>
            <w:tcBorders>
              <w:top w:val="nil"/>
              <w:left w:val="single" w:sz="4" w:space="0" w:color="auto"/>
              <w:bottom w:val="single" w:sz="4" w:space="0" w:color="auto"/>
              <w:right w:val="single" w:sz="4" w:space="0" w:color="auto"/>
            </w:tcBorders>
            <w:shd w:val="clear" w:color="auto" w:fill="auto"/>
            <w:vAlign w:val="center"/>
          </w:tcPr>
          <w:p w14:paraId="7F139F8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0.74</w:t>
            </w:r>
          </w:p>
        </w:tc>
        <w:tc>
          <w:tcPr>
            <w:tcW w:w="1098" w:type="dxa"/>
            <w:tcBorders>
              <w:top w:val="nil"/>
              <w:left w:val="nil"/>
              <w:bottom w:val="single" w:sz="4" w:space="0" w:color="auto"/>
              <w:right w:val="single" w:sz="4" w:space="0" w:color="auto"/>
            </w:tcBorders>
            <w:shd w:val="clear" w:color="auto" w:fill="auto"/>
            <w:vAlign w:val="center"/>
          </w:tcPr>
          <w:p w14:paraId="2EDCF6A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2.72</w:t>
            </w:r>
          </w:p>
        </w:tc>
        <w:tc>
          <w:tcPr>
            <w:tcW w:w="1098" w:type="dxa"/>
            <w:tcBorders>
              <w:top w:val="nil"/>
              <w:left w:val="nil"/>
              <w:bottom w:val="single" w:sz="4" w:space="0" w:color="auto"/>
              <w:right w:val="single" w:sz="4" w:space="0" w:color="auto"/>
            </w:tcBorders>
            <w:shd w:val="clear" w:color="auto" w:fill="auto"/>
            <w:vAlign w:val="center"/>
          </w:tcPr>
          <w:p w14:paraId="6DEE7BF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6.24</w:t>
            </w:r>
          </w:p>
        </w:tc>
        <w:tc>
          <w:tcPr>
            <w:tcW w:w="1098" w:type="dxa"/>
            <w:tcBorders>
              <w:top w:val="nil"/>
              <w:left w:val="nil"/>
              <w:bottom w:val="single" w:sz="4" w:space="0" w:color="auto"/>
              <w:right w:val="single" w:sz="4" w:space="0" w:color="auto"/>
            </w:tcBorders>
            <w:shd w:val="clear" w:color="auto" w:fill="auto"/>
            <w:vAlign w:val="center"/>
          </w:tcPr>
          <w:p w14:paraId="7117A2A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13.14</w:t>
            </w:r>
          </w:p>
        </w:tc>
        <w:tc>
          <w:tcPr>
            <w:tcW w:w="1103" w:type="dxa"/>
            <w:tcBorders>
              <w:top w:val="nil"/>
              <w:left w:val="nil"/>
              <w:bottom w:val="single" w:sz="4" w:space="0" w:color="auto"/>
              <w:right w:val="single" w:sz="4" w:space="0" w:color="auto"/>
            </w:tcBorders>
            <w:shd w:val="clear" w:color="auto" w:fill="auto"/>
            <w:vAlign w:val="center"/>
          </w:tcPr>
          <w:p w14:paraId="32C6CEE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16.99</w:t>
            </w:r>
          </w:p>
        </w:tc>
        <w:tc>
          <w:tcPr>
            <w:tcW w:w="1012" w:type="dxa"/>
            <w:tcBorders>
              <w:top w:val="nil"/>
              <w:left w:val="nil"/>
              <w:bottom w:val="single" w:sz="4" w:space="0" w:color="auto"/>
              <w:right w:val="single" w:sz="4" w:space="0" w:color="auto"/>
            </w:tcBorders>
            <w:vAlign w:val="center"/>
          </w:tcPr>
          <w:p w14:paraId="0FFD759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33.62</w:t>
            </w:r>
          </w:p>
        </w:tc>
        <w:tc>
          <w:tcPr>
            <w:tcW w:w="992" w:type="dxa"/>
            <w:tcBorders>
              <w:top w:val="nil"/>
              <w:left w:val="nil"/>
              <w:bottom w:val="single" w:sz="4" w:space="0" w:color="auto"/>
              <w:right w:val="single" w:sz="4" w:space="0" w:color="auto"/>
            </w:tcBorders>
            <w:vAlign w:val="center"/>
          </w:tcPr>
          <w:p w14:paraId="09945E9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40.36</w:t>
            </w:r>
          </w:p>
        </w:tc>
      </w:tr>
      <w:tr w:rsidR="002A0DE8" w:rsidRPr="005D22E6" w14:paraId="49BC66F7" w14:textId="77777777" w:rsidTr="00992756">
        <w:trPr>
          <w:trHeight w:val="173"/>
          <w:jc w:val="center"/>
        </w:trPr>
        <w:tc>
          <w:tcPr>
            <w:tcW w:w="832" w:type="dxa"/>
            <w:vMerge/>
            <w:shd w:val="clear" w:color="auto" w:fill="auto"/>
            <w:vAlign w:val="center"/>
          </w:tcPr>
          <w:p w14:paraId="4EA530E9"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32523CE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0.74</w:t>
            </w:r>
          </w:p>
        </w:tc>
        <w:tc>
          <w:tcPr>
            <w:tcW w:w="1098" w:type="dxa"/>
            <w:tcBorders>
              <w:top w:val="nil"/>
              <w:left w:val="nil"/>
              <w:bottom w:val="single" w:sz="4" w:space="0" w:color="auto"/>
              <w:right w:val="single" w:sz="4" w:space="0" w:color="auto"/>
            </w:tcBorders>
            <w:shd w:val="clear" w:color="auto" w:fill="auto"/>
            <w:vAlign w:val="center"/>
          </w:tcPr>
          <w:p w14:paraId="17F63C3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2.75</w:t>
            </w:r>
          </w:p>
        </w:tc>
        <w:tc>
          <w:tcPr>
            <w:tcW w:w="1098" w:type="dxa"/>
            <w:tcBorders>
              <w:top w:val="nil"/>
              <w:left w:val="nil"/>
              <w:bottom w:val="single" w:sz="4" w:space="0" w:color="auto"/>
              <w:right w:val="single" w:sz="4" w:space="0" w:color="auto"/>
            </w:tcBorders>
            <w:shd w:val="clear" w:color="auto" w:fill="auto"/>
            <w:vAlign w:val="center"/>
          </w:tcPr>
          <w:p w14:paraId="5C71A1F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6.31</w:t>
            </w:r>
          </w:p>
        </w:tc>
        <w:tc>
          <w:tcPr>
            <w:tcW w:w="1098" w:type="dxa"/>
            <w:tcBorders>
              <w:top w:val="nil"/>
              <w:left w:val="nil"/>
              <w:bottom w:val="single" w:sz="4" w:space="0" w:color="auto"/>
              <w:right w:val="single" w:sz="4" w:space="0" w:color="auto"/>
            </w:tcBorders>
            <w:shd w:val="clear" w:color="auto" w:fill="auto"/>
            <w:vAlign w:val="center"/>
          </w:tcPr>
          <w:p w14:paraId="0E6038B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13.20</w:t>
            </w:r>
          </w:p>
        </w:tc>
        <w:tc>
          <w:tcPr>
            <w:tcW w:w="1103" w:type="dxa"/>
            <w:tcBorders>
              <w:top w:val="nil"/>
              <w:left w:val="nil"/>
              <w:bottom w:val="single" w:sz="4" w:space="0" w:color="auto"/>
              <w:right w:val="single" w:sz="4" w:space="0" w:color="auto"/>
            </w:tcBorders>
            <w:shd w:val="clear" w:color="auto" w:fill="auto"/>
            <w:vAlign w:val="center"/>
          </w:tcPr>
          <w:p w14:paraId="1C6D454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17.03</w:t>
            </w:r>
          </w:p>
        </w:tc>
        <w:tc>
          <w:tcPr>
            <w:tcW w:w="1012" w:type="dxa"/>
            <w:tcBorders>
              <w:top w:val="nil"/>
              <w:left w:val="nil"/>
              <w:bottom w:val="single" w:sz="4" w:space="0" w:color="auto"/>
              <w:right w:val="single" w:sz="4" w:space="0" w:color="auto"/>
            </w:tcBorders>
            <w:vAlign w:val="center"/>
          </w:tcPr>
          <w:p w14:paraId="2706E15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33.68</w:t>
            </w:r>
          </w:p>
        </w:tc>
        <w:tc>
          <w:tcPr>
            <w:tcW w:w="992" w:type="dxa"/>
            <w:tcBorders>
              <w:top w:val="nil"/>
              <w:left w:val="nil"/>
              <w:bottom w:val="single" w:sz="4" w:space="0" w:color="auto"/>
              <w:right w:val="single" w:sz="4" w:space="0" w:color="auto"/>
            </w:tcBorders>
            <w:vAlign w:val="center"/>
          </w:tcPr>
          <w:p w14:paraId="4DFEF9A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40.43</w:t>
            </w:r>
          </w:p>
        </w:tc>
      </w:tr>
      <w:tr w:rsidR="002A0DE8" w:rsidRPr="005D22E6" w14:paraId="34037A33" w14:textId="77777777" w:rsidTr="00992756">
        <w:trPr>
          <w:trHeight w:val="173"/>
          <w:jc w:val="center"/>
        </w:trPr>
        <w:tc>
          <w:tcPr>
            <w:tcW w:w="832" w:type="dxa"/>
            <w:vMerge/>
            <w:shd w:val="clear" w:color="auto" w:fill="auto"/>
            <w:vAlign w:val="center"/>
          </w:tcPr>
          <w:p w14:paraId="5BC6EFC4" w14:textId="77777777" w:rsidR="002A0DE8" w:rsidRPr="005D22E6" w:rsidRDefault="002A0DE8">
            <w:pPr>
              <w:jc w:val="center"/>
              <w:rPr>
                <w:rFonts w:ascii="宋体" w:eastAsia="宋体" w:hAnsi="宋体" w:cs="Times New Roman"/>
                <w:szCs w:val="21"/>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9E90A7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0.75</w:t>
            </w:r>
          </w:p>
        </w:tc>
        <w:tc>
          <w:tcPr>
            <w:tcW w:w="1098" w:type="dxa"/>
            <w:tcBorders>
              <w:top w:val="single" w:sz="4" w:space="0" w:color="auto"/>
              <w:left w:val="nil"/>
              <w:bottom w:val="single" w:sz="4" w:space="0" w:color="auto"/>
              <w:right w:val="single" w:sz="4" w:space="0" w:color="auto"/>
            </w:tcBorders>
            <w:shd w:val="clear" w:color="auto" w:fill="auto"/>
            <w:vAlign w:val="center"/>
          </w:tcPr>
          <w:p w14:paraId="7C43766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2.78</w:t>
            </w:r>
          </w:p>
        </w:tc>
        <w:tc>
          <w:tcPr>
            <w:tcW w:w="1098" w:type="dxa"/>
            <w:tcBorders>
              <w:top w:val="single" w:sz="4" w:space="0" w:color="auto"/>
              <w:left w:val="nil"/>
              <w:bottom w:val="single" w:sz="4" w:space="0" w:color="auto"/>
              <w:right w:val="single" w:sz="4" w:space="0" w:color="auto"/>
            </w:tcBorders>
            <w:shd w:val="clear" w:color="auto" w:fill="auto"/>
            <w:vAlign w:val="center"/>
          </w:tcPr>
          <w:p w14:paraId="432170E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6.35</w:t>
            </w:r>
          </w:p>
        </w:tc>
        <w:tc>
          <w:tcPr>
            <w:tcW w:w="1098" w:type="dxa"/>
            <w:tcBorders>
              <w:top w:val="single" w:sz="4" w:space="0" w:color="auto"/>
              <w:left w:val="nil"/>
              <w:bottom w:val="single" w:sz="4" w:space="0" w:color="auto"/>
              <w:right w:val="single" w:sz="4" w:space="0" w:color="auto"/>
            </w:tcBorders>
            <w:shd w:val="clear" w:color="auto" w:fill="auto"/>
            <w:vAlign w:val="center"/>
          </w:tcPr>
          <w:p w14:paraId="74F45B8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13.29</w:t>
            </w:r>
          </w:p>
        </w:tc>
        <w:tc>
          <w:tcPr>
            <w:tcW w:w="1103" w:type="dxa"/>
            <w:tcBorders>
              <w:top w:val="single" w:sz="4" w:space="0" w:color="auto"/>
              <w:left w:val="nil"/>
              <w:bottom w:val="single" w:sz="4" w:space="0" w:color="auto"/>
              <w:right w:val="single" w:sz="4" w:space="0" w:color="auto"/>
            </w:tcBorders>
            <w:shd w:val="clear" w:color="auto" w:fill="auto"/>
            <w:vAlign w:val="center"/>
          </w:tcPr>
          <w:p w14:paraId="5D672FB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17.12</w:t>
            </w:r>
          </w:p>
        </w:tc>
        <w:tc>
          <w:tcPr>
            <w:tcW w:w="1012" w:type="dxa"/>
            <w:tcBorders>
              <w:top w:val="single" w:sz="4" w:space="0" w:color="auto"/>
              <w:left w:val="nil"/>
              <w:bottom w:val="single" w:sz="4" w:space="0" w:color="auto"/>
              <w:right w:val="single" w:sz="4" w:space="0" w:color="auto"/>
            </w:tcBorders>
            <w:vAlign w:val="center"/>
          </w:tcPr>
          <w:p w14:paraId="5A9D6C3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33.79</w:t>
            </w:r>
          </w:p>
        </w:tc>
        <w:tc>
          <w:tcPr>
            <w:tcW w:w="992" w:type="dxa"/>
            <w:tcBorders>
              <w:top w:val="single" w:sz="4" w:space="0" w:color="auto"/>
              <w:left w:val="nil"/>
              <w:bottom w:val="single" w:sz="4" w:space="0" w:color="auto"/>
              <w:right w:val="single" w:sz="4" w:space="0" w:color="auto"/>
            </w:tcBorders>
            <w:vAlign w:val="center"/>
          </w:tcPr>
          <w:p w14:paraId="644E89A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40.47</w:t>
            </w:r>
          </w:p>
        </w:tc>
      </w:tr>
      <w:tr w:rsidR="002A0DE8" w:rsidRPr="005D22E6" w14:paraId="77FDAA5D" w14:textId="77777777" w:rsidTr="00992756">
        <w:trPr>
          <w:trHeight w:val="173"/>
          <w:jc w:val="center"/>
        </w:trPr>
        <w:tc>
          <w:tcPr>
            <w:tcW w:w="832" w:type="dxa"/>
            <w:vMerge/>
            <w:shd w:val="clear" w:color="auto" w:fill="auto"/>
            <w:vAlign w:val="center"/>
          </w:tcPr>
          <w:p w14:paraId="0473C8A7" w14:textId="77777777" w:rsidR="002A0DE8" w:rsidRPr="005D22E6" w:rsidRDefault="002A0DE8">
            <w:pPr>
              <w:jc w:val="center"/>
              <w:rPr>
                <w:rFonts w:ascii="宋体" w:eastAsia="宋体" w:hAnsi="宋体" w:cs="Times New Roman"/>
                <w:szCs w:val="21"/>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68E5652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0.78</w:t>
            </w:r>
          </w:p>
        </w:tc>
        <w:tc>
          <w:tcPr>
            <w:tcW w:w="1098" w:type="dxa"/>
            <w:tcBorders>
              <w:top w:val="single" w:sz="4" w:space="0" w:color="auto"/>
              <w:left w:val="nil"/>
              <w:bottom w:val="single" w:sz="4" w:space="0" w:color="auto"/>
              <w:right w:val="single" w:sz="4" w:space="0" w:color="auto"/>
            </w:tcBorders>
            <w:shd w:val="clear" w:color="auto" w:fill="auto"/>
            <w:vAlign w:val="center"/>
          </w:tcPr>
          <w:p w14:paraId="4365F1F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2.83</w:t>
            </w:r>
          </w:p>
        </w:tc>
        <w:tc>
          <w:tcPr>
            <w:tcW w:w="1098" w:type="dxa"/>
            <w:tcBorders>
              <w:top w:val="single" w:sz="4" w:space="0" w:color="auto"/>
              <w:left w:val="nil"/>
              <w:bottom w:val="single" w:sz="4" w:space="0" w:color="auto"/>
              <w:right w:val="single" w:sz="4" w:space="0" w:color="auto"/>
            </w:tcBorders>
            <w:shd w:val="clear" w:color="auto" w:fill="auto"/>
            <w:vAlign w:val="center"/>
          </w:tcPr>
          <w:p w14:paraId="38FF788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6.40</w:t>
            </w:r>
          </w:p>
        </w:tc>
        <w:tc>
          <w:tcPr>
            <w:tcW w:w="1098" w:type="dxa"/>
            <w:tcBorders>
              <w:top w:val="single" w:sz="4" w:space="0" w:color="auto"/>
              <w:left w:val="nil"/>
              <w:bottom w:val="single" w:sz="4" w:space="0" w:color="auto"/>
              <w:right w:val="single" w:sz="4" w:space="0" w:color="auto"/>
            </w:tcBorders>
            <w:shd w:val="clear" w:color="auto" w:fill="auto"/>
            <w:vAlign w:val="center"/>
          </w:tcPr>
          <w:p w14:paraId="3BC0966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13.30</w:t>
            </w:r>
          </w:p>
        </w:tc>
        <w:tc>
          <w:tcPr>
            <w:tcW w:w="1103" w:type="dxa"/>
            <w:tcBorders>
              <w:top w:val="single" w:sz="4" w:space="0" w:color="auto"/>
              <w:left w:val="nil"/>
              <w:bottom w:val="single" w:sz="4" w:space="0" w:color="auto"/>
              <w:right w:val="single" w:sz="4" w:space="0" w:color="auto"/>
            </w:tcBorders>
            <w:shd w:val="clear" w:color="auto" w:fill="auto"/>
            <w:vAlign w:val="center"/>
          </w:tcPr>
          <w:p w14:paraId="6657F8A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17.20</w:t>
            </w:r>
          </w:p>
        </w:tc>
        <w:tc>
          <w:tcPr>
            <w:tcW w:w="1012" w:type="dxa"/>
            <w:tcBorders>
              <w:top w:val="single" w:sz="4" w:space="0" w:color="auto"/>
              <w:left w:val="nil"/>
              <w:bottom w:val="single" w:sz="4" w:space="0" w:color="auto"/>
              <w:right w:val="single" w:sz="4" w:space="0" w:color="auto"/>
            </w:tcBorders>
            <w:vAlign w:val="center"/>
          </w:tcPr>
          <w:p w14:paraId="57EB718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33.87</w:t>
            </w:r>
          </w:p>
        </w:tc>
        <w:tc>
          <w:tcPr>
            <w:tcW w:w="992" w:type="dxa"/>
            <w:tcBorders>
              <w:top w:val="single" w:sz="4" w:space="0" w:color="auto"/>
              <w:left w:val="nil"/>
              <w:bottom w:val="single" w:sz="4" w:space="0" w:color="auto"/>
              <w:right w:val="single" w:sz="4" w:space="0" w:color="auto"/>
            </w:tcBorders>
            <w:vAlign w:val="center"/>
          </w:tcPr>
          <w:p w14:paraId="7E6EB40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40.65</w:t>
            </w:r>
          </w:p>
        </w:tc>
      </w:tr>
      <w:tr w:rsidR="002A0DE8" w:rsidRPr="005D22E6" w14:paraId="373687D2" w14:textId="77777777" w:rsidTr="00992756">
        <w:trPr>
          <w:trHeight w:val="179"/>
          <w:jc w:val="center"/>
        </w:trPr>
        <w:tc>
          <w:tcPr>
            <w:tcW w:w="832" w:type="dxa"/>
            <w:vMerge w:val="restart"/>
            <w:shd w:val="clear" w:color="auto" w:fill="auto"/>
            <w:vAlign w:val="center"/>
          </w:tcPr>
          <w:p w14:paraId="597D9D9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7</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3142BD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0.78</w:t>
            </w:r>
          </w:p>
        </w:tc>
        <w:tc>
          <w:tcPr>
            <w:tcW w:w="1098" w:type="dxa"/>
            <w:tcBorders>
              <w:top w:val="single" w:sz="4" w:space="0" w:color="auto"/>
              <w:left w:val="nil"/>
              <w:bottom w:val="single" w:sz="4" w:space="0" w:color="auto"/>
              <w:right w:val="single" w:sz="4" w:space="0" w:color="auto"/>
            </w:tcBorders>
            <w:shd w:val="clear" w:color="auto" w:fill="auto"/>
            <w:vAlign w:val="center"/>
          </w:tcPr>
          <w:p w14:paraId="77E2732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2.79</w:t>
            </w:r>
          </w:p>
        </w:tc>
        <w:tc>
          <w:tcPr>
            <w:tcW w:w="1098" w:type="dxa"/>
            <w:tcBorders>
              <w:top w:val="single" w:sz="4" w:space="0" w:color="auto"/>
              <w:left w:val="nil"/>
              <w:bottom w:val="single" w:sz="4" w:space="0" w:color="auto"/>
              <w:right w:val="single" w:sz="4" w:space="0" w:color="auto"/>
            </w:tcBorders>
            <w:shd w:val="clear" w:color="auto" w:fill="auto"/>
            <w:vAlign w:val="center"/>
          </w:tcPr>
          <w:p w14:paraId="4567904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6.51</w:t>
            </w:r>
          </w:p>
        </w:tc>
        <w:tc>
          <w:tcPr>
            <w:tcW w:w="1098" w:type="dxa"/>
            <w:tcBorders>
              <w:top w:val="single" w:sz="4" w:space="0" w:color="auto"/>
              <w:left w:val="nil"/>
              <w:bottom w:val="single" w:sz="4" w:space="0" w:color="auto"/>
              <w:right w:val="single" w:sz="4" w:space="0" w:color="auto"/>
            </w:tcBorders>
            <w:shd w:val="clear" w:color="auto" w:fill="auto"/>
            <w:vAlign w:val="center"/>
          </w:tcPr>
          <w:p w14:paraId="3116E52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13.54</w:t>
            </w:r>
          </w:p>
        </w:tc>
        <w:tc>
          <w:tcPr>
            <w:tcW w:w="1103" w:type="dxa"/>
            <w:tcBorders>
              <w:top w:val="single" w:sz="4" w:space="0" w:color="auto"/>
              <w:left w:val="nil"/>
              <w:bottom w:val="single" w:sz="4" w:space="0" w:color="auto"/>
              <w:right w:val="single" w:sz="4" w:space="0" w:color="auto"/>
            </w:tcBorders>
            <w:shd w:val="clear" w:color="auto" w:fill="auto"/>
            <w:vAlign w:val="center"/>
          </w:tcPr>
          <w:p w14:paraId="566228E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17.36</w:t>
            </w:r>
          </w:p>
        </w:tc>
        <w:tc>
          <w:tcPr>
            <w:tcW w:w="1012" w:type="dxa"/>
            <w:tcBorders>
              <w:top w:val="single" w:sz="4" w:space="0" w:color="auto"/>
              <w:left w:val="nil"/>
              <w:bottom w:val="single" w:sz="4" w:space="0" w:color="auto"/>
              <w:right w:val="single" w:sz="4" w:space="0" w:color="auto"/>
            </w:tcBorders>
            <w:vAlign w:val="center"/>
          </w:tcPr>
          <w:p w14:paraId="0EC87CB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34.21</w:t>
            </w:r>
          </w:p>
        </w:tc>
        <w:tc>
          <w:tcPr>
            <w:tcW w:w="992" w:type="dxa"/>
            <w:tcBorders>
              <w:top w:val="single" w:sz="4" w:space="0" w:color="auto"/>
              <w:left w:val="nil"/>
              <w:bottom w:val="single" w:sz="4" w:space="0" w:color="auto"/>
              <w:right w:val="single" w:sz="4" w:space="0" w:color="auto"/>
            </w:tcBorders>
            <w:vAlign w:val="center"/>
          </w:tcPr>
          <w:p w14:paraId="3C662F6F"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40.63</w:t>
            </w:r>
          </w:p>
        </w:tc>
      </w:tr>
      <w:tr w:rsidR="002A0DE8" w:rsidRPr="005D22E6" w14:paraId="2EECE598" w14:textId="77777777" w:rsidTr="00992756">
        <w:trPr>
          <w:trHeight w:val="173"/>
          <w:jc w:val="center"/>
        </w:trPr>
        <w:tc>
          <w:tcPr>
            <w:tcW w:w="832" w:type="dxa"/>
            <w:vMerge/>
            <w:shd w:val="clear" w:color="auto" w:fill="auto"/>
            <w:vAlign w:val="center"/>
          </w:tcPr>
          <w:p w14:paraId="42055C9B"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62BE6D9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0.79</w:t>
            </w:r>
          </w:p>
        </w:tc>
        <w:tc>
          <w:tcPr>
            <w:tcW w:w="1098" w:type="dxa"/>
            <w:tcBorders>
              <w:top w:val="nil"/>
              <w:left w:val="nil"/>
              <w:bottom w:val="single" w:sz="4" w:space="0" w:color="auto"/>
              <w:right w:val="single" w:sz="4" w:space="0" w:color="auto"/>
            </w:tcBorders>
            <w:shd w:val="clear" w:color="auto" w:fill="auto"/>
            <w:vAlign w:val="center"/>
          </w:tcPr>
          <w:p w14:paraId="3E7E238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2.76</w:t>
            </w:r>
          </w:p>
        </w:tc>
        <w:tc>
          <w:tcPr>
            <w:tcW w:w="1098" w:type="dxa"/>
            <w:tcBorders>
              <w:top w:val="nil"/>
              <w:left w:val="nil"/>
              <w:bottom w:val="single" w:sz="4" w:space="0" w:color="auto"/>
              <w:right w:val="single" w:sz="4" w:space="0" w:color="auto"/>
            </w:tcBorders>
            <w:shd w:val="clear" w:color="auto" w:fill="auto"/>
            <w:vAlign w:val="center"/>
          </w:tcPr>
          <w:p w14:paraId="0826A3D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6.48</w:t>
            </w:r>
          </w:p>
        </w:tc>
        <w:tc>
          <w:tcPr>
            <w:tcW w:w="1098" w:type="dxa"/>
            <w:tcBorders>
              <w:top w:val="nil"/>
              <w:left w:val="nil"/>
              <w:bottom w:val="single" w:sz="4" w:space="0" w:color="auto"/>
              <w:right w:val="single" w:sz="4" w:space="0" w:color="auto"/>
            </w:tcBorders>
            <w:shd w:val="clear" w:color="auto" w:fill="auto"/>
            <w:vAlign w:val="center"/>
          </w:tcPr>
          <w:p w14:paraId="4D67BA0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13.59</w:t>
            </w:r>
          </w:p>
        </w:tc>
        <w:tc>
          <w:tcPr>
            <w:tcW w:w="1103" w:type="dxa"/>
            <w:tcBorders>
              <w:top w:val="nil"/>
              <w:left w:val="nil"/>
              <w:bottom w:val="single" w:sz="4" w:space="0" w:color="auto"/>
              <w:right w:val="single" w:sz="4" w:space="0" w:color="auto"/>
            </w:tcBorders>
            <w:shd w:val="clear" w:color="auto" w:fill="auto"/>
            <w:vAlign w:val="center"/>
          </w:tcPr>
          <w:p w14:paraId="1F59943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17.41</w:t>
            </w:r>
          </w:p>
        </w:tc>
        <w:tc>
          <w:tcPr>
            <w:tcW w:w="1012" w:type="dxa"/>
            <w:tcBorders>
              <w:top w:val="nil"/>
              <w:left w:val="nil"/>
              <w:bottom w:val="single" w:sz="4" w:space="0" w:color="auto"/>
              <w:right w:val="single" w:sz="4" w:space="0" w:color="auto"/>
            </w:tcBorders>
            <w:vAlign w:val="center"/>
          </w:tcPr>
          <w:p w14:paraId="4A97AF6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34.14</w:t>
            </w:r>
          </w:p>
        </w:tc>
        <w:tc>
          <w:tcPr>
            <w:tcW w:w="992" w:type="dxa"/>
            <w:tcBorders>
              <w:top w:val="nil"/>
              <w:left w:val="nil"/>
              <w:bottom w:val="single" w:sz="4" w:space="0" w:color="auto"/>
              <w:right w:val="single" w:sz="4" w:space="0" w:color="auto"/>
            </w:tcBorders>
            <w:vAlign w:val="center"/>
          </w:tcPr>
          <w:p w14:paraId="383045A7"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40.77</w:t>
            </w:r>
          </w:p>
        </w:tc>
      </w:tr>
      <w:tr w:rsidR="002A0DE8" w:rsidRPr="005D22E6" w14:paraId="777F3DC6" w14:textId="77777777" w:rsidTr="00992756">
        <w:trPr>
          <w:trHeight w:val="173"/>
          <w:jc w:val="center"/>
        </w:trPr>
        <w:tc>
          <w:tcPr>
            <w:tcW w:w="832" w:type="dxa"/>
            <w:vMerge/>
            <w:shd w:val="clear" w:color="auto" w:fill="auto"/>
            <w:vAlign w:val="center"/>
          </w:tcPr>
          <w:p w14:paraId="5130CE76"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86D615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0.78</w:t>
            </w:r>
          </w:p>
        </w:tc>
        <w:tc>
          <w:tcPr>
            <w:tcW w:w="1098" w:type="dxa"/>
            <w:tcBorders>
              <w:top w:val="nil"/>
              <w:left w:val="nil"/>
              <w:bottom w:val="single" w:sz="4" w:space="0" w:color="auto"/>
              <w:right w:val="single" w:sz="4" w:space="0" w:color="auto"/>
            </w:tcBorders>
            <w:shd w:val="clear" w:color="auto" w:fill="auto"/>
            <w:vAlign w:val="center"/>
          </w:tcPr>
          <w:p w14:paraId="773BB2E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2.82</w:t>
            </w:r>
          </w:p>
        </w:tc>
        <w:tc>
          <w:tcPr>
            <w:tcW w:w="1098" w:type="dxa"/>
            <w:tcBorders>
              <w:top w:val="nil"/>
              <w:left w:val="nil"/>
              <w:bottom w:val="single" w:sz="4" w:space="0" w:color="auto"/>
              <w:right w:val="single" w:sz="4" w:space="0" w:color="auto"/>
            </w:tcBorders>
            <w:shd w:val="clear" w:color="auto" w:fill="auto"/>
            <w:vAlign w:val="center"/>
          </w:tcPr>
          <w:p w14:paraId="484B042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6.51</w:t>
            </w:r>
          </w:p>
        </w:tc>
        <w:tc>
          <w:tcPr>
            <w:tcW w:w="1098" w:type="dxa"/>
            <w:tcBorders>
              <w:top w:val="nil"/>
              <w:left w:val="nil"/>
              <w:bottom w:val="single" w:sz="4" w:space="0" w:color="auto"/>
              <w:right w:val="single" w:sz="4" w:space="0" w:color="auto"/>
            </w:tcBorders>
            <w:shd w:val="clear" w:color="auto" w:fill="auto"/>
            <w:vAlign w:val="center"/>
          </w:tcPr>
          <w:p w14:paraId="00EB743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13.61</w:t>
            </w:r>
          </w:p>
        </w:tc>
        <w:tc>
          <w:tcPr>
            <w:tcW w:w="1103" w:type="dxa"/>
            <w:tcBorders>
              <w:top w:val="nil"/>
              <w:left w:val="nil"/>
              <w:bottom w:val="single" w:sz="4" w:space="0" w:color="auto"/>
              <w:right w:val="single" w:sz="4" w:space="0" w:color="auto"/>
            </w:tcBorders>
            <w:shd w:val="clear" w:color="auto" w:fill="auto"/>
            <w:vAlign w:val="center"/>
          </w:tcPr>
          <w:p w14:paraId="63D6E56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17.39</w:t>
            </w:r>
          </w:p>
        </w:tc>
        <w:tc>
          <w:tcPr>
            <w:tcW w:w="1012" w:type="dxa"/>
            <w:tcBorders>
              <w:top w:val="nil"/>
              <w:left w:val="nil"/>
              <w:bottom w:val="single" w:sz="4" w:space="0" w:color="auto"/>
              <w:right w:val="single" w:sz="4" w:space="0" w:color="auto"/>
            </w:tcBorders>
            <w:vAlign w:val="center"/>
          </w:tcPr>
          <w:p w14:paraId="462AB44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34.11</w:t>
            </w:r>
          </w:p>
        </w:tc>
        <w:tc>
          <w:tcPr>
            <w:tcW w:w="992" w:type="dxa"/>
            <w:tcBorders>
              <w:top w:val="nil"/>
              <w:left w:val="nil"/>
              <w:bottom w:val="single" w:sz="4" w:space="0" w:color="auto"/>
              <w:right w:val="single" w:sz="4" w:space="0" w:color="auto"/>
            </w:tcBorders>
            <w:vAlign w:val="center"/>
          </w:tcPr>
          <w:p w14:paraId="6F53A8C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40.84</w:t>
            </w:r>
          </w:p>
        </w:tc>
      </w:tr>
      <w:tr w:rsidR="002A0DE8" w:rsidRPr="005D22E6" w14:paraId="46306B88" w14:textId="77777777" w:rsidTr="00992756">
        <w:trPr>
          <w:trHeight w:val="173"/>
          <w:jc w:val="center"/>
        </w:trPr>
        <w:tc>
          <w:tcPr>
            <w:tcW w:w="832" w:type="dxa"/>
            <w:vMerge/>
            <w:shd w:val="clear" w:color="auto" w:fill="auto"/>
            <w:vAlign w:val="center"/>
          </w:tcPr>
          <w:p w14:paraId="6771C073" w14:textId="77777777" w:rsidR="002A0DE8" w:rsidRPr="005D22E6" w:rsidRDefault="002A0DE8">
            <w:pPr>
              <w:jc w:val="center"/>
              <w:rPr>
                <w:rFonts w:ascii="宋体" w:eastAsia="宋体" w:hAnsi="宋体"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11F0EEC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0.80</w:t>
            </w:r>
          </w:p>
        </w:tc>
        <w:tc>
          <w:tcPr>
            <w:tcW w:w="1098" w:type="dxa"/>
            <w:tcBorders>
              <w:top w:val="nil"/>
              <w:left w:val="nil"/>
              <w:bottom w:val="single" w:sz="4" w:space="0" w:color="auto"/>
              <w:right w:val="single" w:sz="4" w:space="0" w:color="auto"/>
            </w:tcBorders>
            <w:shd w:val="clear" w:color="auto" w:fill="auto"/>
            <w:vAlign w:val="center"/>
          </w:tcPr>
          <w:p w14:paraId="6305B49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2.78</w:t>
            </w:r>
          </w:p>
        </w:tc>
        <w:tc>
          <w:tcPr>
            <w:tcW w:w="1098" w:type="dxa"/>
            <w:tcBorders>
              <w:top w:val="nil"/>
              <w:left w:val="nil"/>
              <w:bottom w:val="single" w:sz="4" w:space="0" w:color="auto"/>
              <w:right w:val="single" w:sz="4" w:space="0" w:color="auto"/>
            </w:tcBorders>
            <w:shd w:val="clear" w:color="auto" w:fill="auto"/>
            <w:vAlign w:val="center"/>
          </w:tcPr>
          <w:p w14:paraId="6CEEE73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6.51</w:t>
            </w:r>
          </w:p>
        </w:tc>
        <w:tc>
          <w:tcPr>
            <w:tcW w:w="1098" w:type="dxa"/>
            <w:tcBorders>
              <w:top w:val="nil"/>
              <w:left w:val="nil"/>
              <w:bottom w:val="single" w:sz="4" w:space="0" w:color="auto"/>
              <w:right w:val="single" w:sz="4" w:space="0" w:color="auto"/>
            </w:tcBorders>
            <w:shd w:val="clear" w:color="auto" w:fill="auto"/>
            <w:vAlign w:val="center"/>
          </w:tcPr>
          <w:p w14:paraId="24281BD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13.57</w:t>
            </w:r>
          </w:p>
        </w:tc>
        <w:tc>
          <w:tcPr>
            <w:tcW w:w="1103" w:type="dxa"/>
            <w:tcBorders>
              <w:top w:val="nil"/>
              <w:left w:val="nil"/>
              <w:bottom w:val="single" w:sz="4" w:space="0" w:color="auto"/>
              <w:right w:val="single" w:sz="4" w:space="0" w:color="auto"/>
            </w:tcBorders>
            <w:shd w:val="clear" w:color="auto" w:fill="auto"/>
            <w:vAlign w:val="center"/>
          </w:tcPr>
          <w:p w14:paraId="31BFF2A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17.36</w:t>
            </w:r>
          </w:p>
        </w:tc>
        <w:tc>
          <w:tcPr>
            <w:tcW w:w="1012" w:type="dxa"/>
            <w:tcBorders>
              <w:top w:val="nil"/>
              <w:left w:val="nil"/>
              <w:bottom w:val="single" w:sz="4" w:space="0" w:color="auto"/>
              <w:right w:val="single" w:sz="4" w:space="0" w:color="auto"/>
            </w:tcBorders>
            <w:vAlign w:val="center"/>
          </w:tcPr>
          <w:p w14:paraId="2BCD90D8"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34.15</w:t>
            </w:r>
          </w:p>
        </w:tc>
        <w:tc>
          <w:tcPr>
            <w:tcW w:w="992" w:type="dxa"/>
            <w:tcBorders>
              <w:top w:val="nil"/>
              <w:left w:val="nil"/>
              <w:bottom w:val="single" w:sz="4" w:space="0" w:color="auto"/>
              <w:right w:val="single" w:sz="4" w:space="0" w:color="auto"/>
            </w:tcBorders>
            <w:vAlign w:val="center"/>
          </w:tcPr>
          <w:p w14:paraId="083A789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40.78</w:t>
            </w:r>
          </w:p>
        </w:tc>
      </w:tr>
      <w:tr w:rsidR="002A0DE8" w:rsidRPr="005D22E6" w14:paraId="0BD12CF4" w14:textId="77777777" w:rsidTr="00992756">
        <w:trPr>
          <w:trHeight w:val="173"/>
          <w:jc w:val="center"/>
        </w:trPr>
        <w:tc>
          <w:tcPr>
            <w:tcW w:w="832" w:type="dxa"/>
            <w:vMerge w:val="restart"/>
            <w:shd w:val="clear" w:color="auto" w:fill="auto"/>
            <w:vAlign w:val="center"/>
          </w:tcPr>
          <w:p w14:paraId="4A9A08D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8</w:t>
            </w:r>
          </w:p>
        </w:tc>
        <w:tc>
          <w:tcPr>
            <w:tcW w:w="1097" w:type="dxa"/>
            <w:tcBorders>
              <w:top w:val="nil"/>
              <w:left w:val="single" w:sz="4" w:space="0" w:color="auto"/>
              <w:bottom w:val="single" w:sz="4" w:space="0" w:color="auto"/>
              <w:right w:val="single" w:sz="4" w:space="0" w:color="auto"/>
            </w:tcBorders>
            <w:shd w:val="clear" w:color="auto" w:fill="auto"/>
            <w:vAlign w:val="center"/>
          </w:tcPr>
          <w:p w14:paraId="1252D291"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0.75</w:t>
            </w:r>
          </w:p>
        </w:tc>
        <w:tc>
          <w:tcPr>
            <w:tcW w:w="1098" w:type="dxa"/>
            <w:tcBorders>
              <w:top w:val="nil"/>
              <w:left w:val="nil"/>
              <w:bottom w:val="single" w:sz="4" w:space="0" w:color="auto"/>
              <w:right w:val="single" w:sz="4" w:space="0" w:color="auto"/>
            </w:tcBorders>
            <w:shd w:val="clear" w:color="auto" w:fill="auto"/>
            <w:vAlign w:val="center"/>
          </w:tcPr>
          <w:p w14:paraId="0E64B4B5"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2.89</w:t>
            </w:r>
          </w:p>
        </w:tc>
        <w:tc>
          <w:tcPr>
            <w:tcW w:w="1098" w:type="dxa"/>
            <w:tcBorders>
              <w:top w:val="nil"/>
              <w:left w:val="nil"/>
              <w:bottom w:val="single" w:sz="4" w:space="0" w:color="auto"/>
              <w:right w:val="single" w:sz="4" w:space="0" w:color="auto"/>
            </w:tcBorders>
            <w:shd w:val="clear" w:color="auto" w:fill="auto"/>
            <w:vAlign w:val="center"/>
          </w:tcPr>
          <w:p w14:paraId="487547C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6.40</w:t>
            </w:r>
          </w:p>
        </w:tc>
        <w:tc>
          <w:tcPr>
            <w:tcW w:w="1098" w:type="dxa"/>
            <w:tcBorders>
              <w:top w:val="nil"/>
              <w:left w:val="nil"/>
              <w:bottom w:val="single" w:sz="4" w:space="0" w:color="auto"/>
              <w:right w:val="single" w:sz="4" w:space="0" w:color="auto"/>
            </w:tcBorders>
            <w:shd w:val="clear" w:color="auto" w:fill="auto"/>
            <w:vAlign w:val="center"/>
          </w:tcPr>
          <w:p w14:paraId="564FE78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13.35</w:t>
            </w:r>
          </w:p>
        </w:tc>
        <w:tc>
          <w:tcPr>
            <w:tcW w:w="1103" w:type="dxa"/>
            <w:tcBorders>
              <w:top w:val="nil"/>
              <w:left w:val="nil"/>
              <w:bottom w:val="single" w:sz="4" w:space="0" w:color="auto"/>
              <w:right w:val="single" w:sz="4" w:space="0" w:color="auto"/>
            </w:tcBorders>
            <w:shd w:val="clear" w:color="auto" w:fill="auto"/>
            <w:vAlign w:val="center"/>
          </w:tcPr>
          <w:p w14:paraId="5271E30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17.19</w:t>
            </w:r>
          </w:p>
        </w:tc>
        <w:tc>
          <w:tcPr>
            <w:tcW w:w="1012" w:type="dxa"/>
            <w:tcBorders>
              <w:top w:val="nil"/>
              <w:left w:val="nil"/>
              <w:bottom w:val="single" w:sz="4" w:space="0" w:color="auto"/>
              <w:right w:val="single" w:sz="4" w:space="0" w:color="auto"/>
            </w:tcBorders>
            <w:vAlign w:val="center"/>
          </w:tcPr>
          <w:p w14:paraId="761FA49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34.06</w:t>
            </w:r>
          </w:p>
        </w:tc>
        <w:tc>
          <w:tcPr>
            <w:tcW w:w="992" w:type="dxa"/>
            <w:tcBorders>
              <w:top w:val="nil"/>
              <w:left w:val="nil"/>
              <w:bottom w:val="single" w:sz="4" w:space="0" w:color="auto"/>
              <w:right w:val="single" w:sz="4" w:space="0" w:color="auto"/>
            </w:tcBorders>
            <w:vAlign w:val="center"/>
          </w:tcPr>
          <w:p w14:paraId="36F90F6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40.72</w:t>
            </w:r>
          </w:p>
        </w:tc>
      </w:tr>
      <w:tr w:rsidR="002A0DE8" w:rsidRPr="005D22E6" w14:paraId="03905C06" w14:textId="77777777" w:rsidTr="00992756">
        <w:trPr>
          <w:trHeight w:val="173"/>
          <w:jc w:val="center"/>
        </w:trPr>
        <w:tc>
          <w:tcPr>
            <w:tcW w:w="832" w:type="dxa"/>
            <w:vMerge/>
            <w:shd w:val="clear" w:color="auto" w:fill="auto"/>
            <w:vAlign w:val="center"/>
          </w:tcPr>
          <w:p w14:paraId="72B63F24" w14:textId="77777777" w:rsidR="002A0DE8" w:rsidRPr="005D22E6" w:rsidRDefault="002A0DE8">
            <w:pPr>
              <w:jc w:val="center"/>
              <w:rPr>
                <w:rFonts w:ascii="Times New Roman" w:hAnsi="Times New Roman"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54A13240"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0.75</w:t>
            </w:r>
          </w:p>
        </w:tc>
        <w:tc>
          <w:tcPr>
            <w:tcW w:w="1098" w:type="dxa"/>
            <w:tcBorders>
              <w:top w:val="nil"/>
              <w:left w:val="nil"/>
              <w:bottom w:val="single" w:sz="4" w:space="0" w:color="auto"/>
              <w:right w:val="single" w:sz="4" w:space="0" w:color="auto"/>
            </w:tcBorders>
            <w:shd w:val="clear" w:color="auto" w:fill="auto"/>
            <w:vAlign w:val="center"/>
          </w:tcPr>
          <w:p w14:paraId="4711A9E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2.89</w:t>
            </w:r>
          </w:p>
        </w:tc>
        <w:tc>
          <w:tcPr>
            <w:tcW w:w="1098" w:type="dxa"/>
            <w:tcBorders>
              <w:top w:val="nil"/>
              <w:left w:val="nil"/>
              <w:bottom w:val="single" w:sz="4" w:space="0" w:color="auto"/>
              <w:right w:val="single" w:sz="4" w:space="0" w:color="auto"/>
            </w:tcBorders>
            <w:shd w:val="clear" w:color="auto" w:fill="auto"/>
            <w:vAlign w:val="center"/>
          </w:tcPr>
          <w:p w14:paraId="0BB0B96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6.51</w:t>
            </w:r>
          </w:p>
        </w:tc>
        <w:tc>
          <w:tcPr>
            <w:tcW w:w="1098" w:type="dxa"/>
            <w:tcBorders>
              <w:top w:val="nil"/>
              <w:left w:val="nil"/>
              <w:bottom w:val="single" w:sz="4" w:space="0" w:color="auto"/>
              <w:right w:val="single" w:sz="4" w:space="0" w:color="auto"/>
            </w:tcBorders>
            <w:shd w:val="clear" w:color="auto" w:fill="auto"/>
            <w:vAlign w:val="center"/>
          </w:tcPr>
          <w:p w14:paraId="15C6334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13.36</w:t>
            </w:r>
          </w:p>
        </w:tc>
        <w:tc>
          <w:tcPr>
            <w:tcW w:w="1103" w:type="dxa"/>
            <w:tcBorders>
              <w:top w:val="nil"/>
              <w:left w:val="nil"/>
              <w:bottom w:val="single" w:sz="4" w:space="0" w:color="auto"/>
              <w:right w:val="single" w:sz="4" w:space="0" w:color="auto"/>
            </w:tcBorders>
            <w:shd w:val="clear" w:color="auto" w:fill="auto"/>
            <w:vAlign w:val="center"/>
          </w:tcPr>
          <w:p w14:paraId="6FAA4332"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17.26</w:t>
            </w:r>
          </w:p>
        </w:tc>
        <w:tc>
          <w:tcPr>
            <w:tcW w:w="1012" w:type="dxa"/>
            <w:tcBorders>
              <w:top w:val="nil"/>
              <w:left w:val="nil"/>
              <w:bottom w:val="single" w:sz="4" w:space="0" w:color="auto"/>
              <w:right w:val="single" w:sz="4" w:space="0" w:color="auto"/>
            </w:tcBorders>
            <w:vAlign w:val="center"/>
          </w:tcPr>
          <w:p w14:paraId="71E0C08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34.16</w:t>
            </w:r>
          </w:p>
        </w:tc>
        <w:tc>
          <w:tcPr>
            <w:tcW w:w="992" w:type="dxa"/>
            <w:tcBorders>
              <w:top w:val="nil"/>
              <w:left w:val="nil"/>
              <w:bottom w:val="single" w:sz="4" w:space="0" w:color="auto"/>
              <w:right w:val="single" w:sz="4" w:space="0" w:color="auto"/>
            </w:tcBorders>
            <w:vAlign w:val="center"/>
          </w:tcPr>
          <w:p w14:paraId="56472CD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40.73</w:t>
            </w:r>
          </w:p>
        </w:tc>
      </w:tr>
      <w:tr w:rsidR="002A0DE8" w:rsidRPr="005D22E6" w14:paraId="6A15A107" w14:textId="77777777" w:rsidTr="00992756">
        <w:trPr>
          <w:trHeight w:val="173"/>
          <w:jc w:val="center"/>
        </w:trPr>
        <w:tc>
          <w:tcPr>
            <w:tcW w:w="832" w:type="dxa"/>
            <w:vMerge/>
            <w:shd w:val="clear" w:color="auto" w:fill="auto"/>
            <w:vAlign w:val="center"/>
          </w:tcPr>
          <w:p w14:paraId="542707D4" w14:textId="77777777" w:rsidR="002A0DE8" w:rsidRPr="005D22E6" w:rsidRDefault="002A0DE8">
            <w:pPr>
              <w:jc w:val="center"/>
              <w:rPr>
                <w:rFonts w:ascii="Times New Roman" w:hAnsi="Times New Roman"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78642BF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0.75</w:t>
            </w:r>
          </w:p>
        </w:tc>
        <w:tc>
          <w:tcPr>
            <w:tcW w:w="1098" w:type="dxa"/>
            <w:tcBorders>
              <w:top w:val="nil"/>
              <w:left w:val="nil"/>
              <w:bottom w:val="single" w:sz="4" w:space="0" w:color="auto"/>
              <w:right w:val="single" w:sz="4" w:space="0" w:color="auto"/>
            </w:tcBorders>
            <w:shd w:val="clear" w:color="auto" w:fill="auto"/>
            <w:vAlign w:val="center"/>
          </w:tcPr>
          <w:p w14:paraId="35F7049C"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2.86</w:t>
            </w:r>
          </w:p>
        </w:tc>
        <w:tc>
          <w:tcPr>
            <w:tcW w:w="1098" w:type="dxa"/>
            <w:tcBorders>
              <w:top w:val="nil"/>
              <w:left w:val="nil"/>
              <w:bottom w:val="single" w:sz="4" w:space="0" w:color="auto"/>
              <w:right w:val="single" w:sz="4" w:space="0" w:color="auto"/>
            </w:tcBorders>
            <w:shd w:val="clear" w:color="auto" w:fill="auto"/>
            <w:vAlign w:val="center"/>
          </w:tcPr>
          <w:p w14:paraId="6078ADE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6.50</w:t>
            </w:r>
          </w:p>
        </w:tc>
        <w:tc>
          <w:tcPr>
            <w:tcW w:w="1098" w:type="dxa"/>
            <w:tcBorders>
              <w:top w:val="nil"/>
              <w:left w:val="nil"/>
              <w:bottom w:val="single" w:sz="4" w:space="0" w:color="auto"/>
              <w:right w:val="single" w:sz="4" w:space="0" w:color="auto"/>
            </w:tcBorders>
            <w:shd w:val="clear" w:color="auto" w:fill="auto"/>
            <w:vAlign w:val="center"/>
          </w:tcPr>
          <w:p w14:paraId="10B4AA4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13.33</w:t>
            </w:r>
          </w:p>
        </w:tc>
        <w:tc>
          <w:tcPr>
            <w:tcW w:w="1103" w:type="dxa"/>
            <w:tcBorders>
              <w:top w:val="nil"/>
              <w:left w:val="nil"/>
              <w:bottom w:val="single" w:sz="4" w:space="0" w:color="auto"/>
              <w:right w:val="single" w:sz="4" w:space="0" w:color="auto"/>
            </w:tcBorders>
            <w:shd w:val="clear" w:color="auto" w:fill="auto"/>
            <w:vAlign w:val="center"/>
          </w:tcPr>
          <w:p w14:paraId="7DF5F99A"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17.21</w:t>
            </w:r>
          </w:p>
        </w:tc>
        <w:tc>
          <w:tcPr>
            <w:tcW w:w="1012" w:type="dxa"/>
            <w:tcBorders>
              <w:top w:val="nil"/>
              <w:left w:val="nil"/>
              <w:bottom w:val="single" w:sz="4" w:space="0" w:color="auto"/>
              <w:right w:val="single" w:sz="4" w:space="0" w:color="auto"/>
            </w:tcBorders>
            <w:vAlign w:val="center"/>
          </w:tcPr>
          <w:p w14:paraId="60757A89"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34.12</w:t>
            </w:r>
          </w:p>
        </w:tc>
        <w:tc>
          <w:tcPr>
            <w:tcW w:w="992" w:type="dxa"/>
            <w:tcBorders>
              <w:top w:val="nil"/>
              <w:left w:val="nil"/>
              <w:bottom w:val="single" w:sz="4" w:space="0" w:color="auto"/>
              <w:right w:val="single" w:sz="4" w:space="0" w:color="auto"/>
            </w:tcBorders>
            <w:vAlign w:val="center"/>
          </w:tcPr>
          <w:p w14:paraId="15EAC1B3"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40.72</w:t>
            </w:r>
          </w:p>
        </w:tc>
      </w:tr>
      <w:tr w:rsidR="002A0DE8" w:rsidRPr="005D22E6" w14:paraId="14BC46ED" w14:textId="77777777" w:rsidTr="00992756">
        <w:trPr>
          <w:trHeight w:val="173"/>
          <w:jc w:val="center"/>
        </w:trPr>
        <w:tc>
          <w:tcPr>
            <w:tcW w:w="832" w:type="dxa"/>
            <w:vMerge/>
            <w:shd w:val="clear" w:color="auto" w:fill="auto"/>
            <w:vAlign w:val="center"/>
          </w:tcPr>
          <w:p w14:paraId="5ACF81CD" w14:textId="77777777" w:rsidR="002A0DE8" w:rsidRPr="005D22E6" w:rsidRDefault="002A0DE8">
            <w:pPr>
              <w:jc w:val="center"/>
              <w:rPr>
                <w:rFonts w:ascii="Times New Roman" w:hAnsi="Times New Roman" w:cs="Times New Roman"/>
                <w:szCs w:val="21"/>
              </w:rPr>
            </w:pPr>
          </w:p>
        </w:tc>
        <w:tc>
          <w:tcPr>
            <w:tcW w:w="1097" w:type="dxa"/>
            <w:tcBorders>
              <w:top w:val="nil"/>
              <w:left w:val="single" w:sz="4" w:space="0" w:color="auto"/>
              <w:bottom w:val="single" w:sz="4" w:space="0" w:color="auto"/>
              <w:right w:val="single" w:sz="4" w:space="0" w:color="auto"/>
            </w:tcBorders>
            <w:shd w:val="clear" w:color="auto" w:fill="auto"/>
            <w:vAlign w:val="center"/>
          </w:tcPr>
          <w:p w14:paraId="65B383C4"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0.76</w:t>
            </w:r>
          </w:p>
        </w:tc>
        <w:tc>
          <w:tcPr>
            <w:tcW w:w="1098" w:type="dxa"/>
            <w:tcBorders>
              <w:top w:val="nil"/>
              <w:left w:val="nil"/>
              <w:bottom w:val="single" w:sz="4" w:space="0" w:color="auto"/>
              <w:right w:val="single" w:sz="4" w:space="0" w:color="auto"/>
            </w:tcBorders>
            <w:shd w:val="clear" w:color="auto" w:fill="auto"/>
            <w:vAlign w:val="center"/>
          </w:tcPr>
          <w:p w14:paraId="32D2DE6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2.86</w:t>
            </w:r>
          </w:p>
        </w:tc>
        <w:tc>
          <w:tcPr>
            <w:tcW w:w="1098" w:type="dxa"/>
            <w:tcBorders>
              <w:top w:val="nil"/>
              <w:left w:val="nil"/>
              <w:bottom w:val="single" w:sz="4" w:space="0" w:color="auto"/>
              <w:right w:val="single" w:sz="4" w:space="0" w:color="auto"/>
            </w:tcBorders>
            <w:shd w:val="clear" w:color="auto" w:fill="auto"/>
            <w:vAlign w:val="center"/>
          </w:tcPr>
          <w:p w14:paraId="5EABEED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6.50</w:t>
            </w:r>
          </w:p>
        </w:tc>
        <w:tc>
          <w:tcPr>
            <w:tcW w:w="1098" w:type="dxa"/>
            <w:tcBorders>
              <w:top w:val="nil"/>
              <w:left w:val="nil"/>
              <w:bottom w:val="single" w:sz="4" w:space="0" w:color="auto"/>
              <w:right w:val="single" w:sz="4" w:space="0" w:color="auto"/>
            </w:tcBorders>
            <w:shd w:val="clear" w:color="auto" w:fill="auto"/>
            <w:vAlign w:val="center"/>
          </w:tcPr>
          <w:p w14:paraId="04F66F8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13.32</w:t>
            </w:r>
          </w:p>
        </w:tc>
        <w:tc>
          <w:tcPr>
            <w:tcW w:w="1103" w:type="dxa"/>
            <w:tcBorders>
              <w:top w:val="nil"/>
              <w:left w:val="nil"/>
              <w:bottom w:val="single" w:sz="4" w:space="0" w:color="auto"/>
              <w:right w:val="single" w:sz="4" w:space="0" w:color="auto"/>
            </w:tcBorders>
            <w:shd w:val="clear" w:color="auto" w:fill="auto"/>
            <w:vAlign w:val="center"/>
          </w:tcPr>
          <w:p w14:paraId="7D210ABE"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17.19</w:t>
            </w:r>
          </w:p>
        </w:tc>
        <w:tc>
          <w:tcPr>
            <w:tcW w:w="1012" w:type="dxa"/>
            <w:tcBorders>
              <w:top w:val="nil"/>
              <w:left w:val="nil"/>
              <w:bottom w:val="single" w:sz="4" w:space="0" w:color="auto"/>
              <w:right w:val="single" w:sz="4" w:space="0" w:color="auto"/>
            </w:tcBorders>
            <w:vAlign w:val="center"/>
          </w:tcPr>
          <w:p w14:paraId="77A61B86"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34.01</w:t>
            </w:r>
          </w:p>
        </w:tc>
        <w:tc>
          <w:tcPr>
            <w:tcW w:w="992" w:type="dxa"/>
            <w:tcBorders>
              <w:top w:val="nil"/>
              <w:left w:val="nil"/>
              <w:bottom w:val="single" w:sz="4" w:space="0" w:color="auto"/>
              <w:right w:val="single" w:sz="4" w:space="0" w:color="auto"/>
            </w:tcBorders>
            <w:vAlign w:val="center"/>
          </w:tcPr>
          <w:p w14:paraId="3A7AD14D" w14:textId="77777777" w:rsidR="002A0DE8" w:rsidRPr="005D22E6" w:rsidRDefault="003B5264">
            <w:pPr>
              <w:jc w:val="center"/>
              <w:rPr>
                <w:rFonts w:ascii="宋体" w:eastAsia="宋体" w:hAnsi="宋体" w:cs="Times New Roman"/>
                <w:sz w:val="22"/>
              </w:rPr>
            </w:pPr>
            <w:r w:rsidRPr="005D22E6">
              <w:rPr>
                <w:rFonts w:ascii="宋体" w:eastAsia="宋体" w:hAnsi="宋体" w:cs="Times New Roman" w:hint="eastAsia"/>
                <w:sz w:val="22"/>
              </w:rPr>
              <w:t>40.73</w:t>
            </w:r>
          </w:p>
        </w:tc>
      </w:tr>
    </w:tbl>
    <w:bookmarkEnd w:id="6"/>
    <w:p w14:paraId="15F99E4F" w14:textId="77777777" w:rsidR="002A0DE8" w:rsidRPr="005D22E6" w:rsidRDefault="003B5264" w:rsidP="00F34655">
      <w:pPr>
        <w:spacing w:beforeLines="50" w:before="156" w:afterLines="50" w:after="156" w:line="360" w:lineRule="auto"/>
        <w:jc w:val="center"/>
        <w:rPr>
          <w:rFonts w:ascii="黑体" w:eastAsia="黑体" w:hAnsi="黑体" w:cs="宋体"/>
          <w:b/>
          <w:sz w:val="24"/>
          <w:szCs w:val="24"/>
        </w:rPr>
      </w:pPr>
      <w:r w:rsidRPr="005D22E6">
        <w:rPr>
          <w:rFonts w:ascii="黑体" w:eastAsia="黑体" w:hAnsi="黑体" w:cs="宋体"/>
          <w:b/>
          <w:sz w:val="24"/>
          <w:szCs w:val="24"/>
        </w:rPr>
        <w:t>表</w:t>
      </w:r>
      <w:r w:rsidRPr="005D22E6">
        <w:rPr>
          <w:rFonts w:ascii="黑体" w:eastAsia="黑体" w:hAnsi="黑体" w:cs="宋体" w:hint="eastAsia"/>
          <w:b/>
          <w:sz w:val="24"/>
          <w:szCs w:val="24"/>
        </w:rPr>
        <w:t xml:space="preserve">3  </w:t>
      </w:r>
      <w:r w:rsidRPr="005D22E6">
        <w:rPr>
          <w:rFonts w:ascii="黑体" w:eastAsia="黑体" w:hAnsi="黑体" w:cs="宋体"/>
          <w:b/>
          <w:sz w:val="24"/>
          <w:szCs w:val="24"/>
        </w:rPr>
        <w:t>单元平均值表</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44"/>
        <w:gridCol w:w="1169"/>
        <w:gridCol w:w="1132"/>
        <w:gridCol w:w="1224"/>
        <w:gridCol w:w="1145"/>
        <w:gridCol w:w="962"/>
        <w:gridCol w:w="1053"/>
        <w:gridCol w:w="9"/>
      </w:tblGrid>
      <w:tr w:rsidR="002A0DE8" w:rsidRPr="005D22E6" w14:paraId="69A6EBCD" w14:textId="77777777" w:rsidTr="00A0362C">
        <w:trPr>
          <w:trHeight w:val="340"/>
          <w:jc w:val="center"/>
        </w:trPr>
        <w:tc>
          <w:tcPr>
            <w:tcW w:w="426" w:type="dxa"/>
            <w:vMerge w:val="restart"/>
            <w:vAlign w:val="center"/>
          </w:tcPr>
          <w:p w14:paraId="243AF69F"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t>实验室</w:t>
            </w:r>
            <w:r w:rsidRPr="005D22E6">
              <w:rPr>
                <w:rFonts w:ascii="Times New Roman" w:hAnsi="Times New Roman" w:cs="Times New Roman"/>
                <w:szCs w:val="21"/>
              </w:rPr>
              <w:t>i</w:t>
            </w:r>
          </w:p>
        </w:tc>
        <w:tc>
          <w:tcPr>
            <w:tcW w:w="7838" w:type="dxa"/>
            <w:gridSpan w:val="8"/>
            <w:vAlign w:val="center"/>
          </w:tcPr>
          <w:p w14:paraId="0513F4E7"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t>水平</w:t>
            </w:r>
            <w:r w:rsidRPr="005D22E6">
              <w:rPr>
                <w:rFonts w:ascii="Times New Roman" w:hAnsi="Times New Roman" w:cs="Times New Roman"/>
                <w:szCs w:val="21"/>
              </w:rPr>
              <w:t>j</w:t>
            </w:r>
          </w:p>
        </w:tc>
      </w:tr>
      <w:tr w:rsidR="002A0DE8" w:rsidRPr="005D22E6" w14:paraId="0C88E225" w14:textId="77777777" w:rsidTr="00A0362C">
        <w:trPr>
          <w:gridAfter w:val="1"/>
          <w:wAfter w:w="9" w:type="dxa"/>
          <w:trHeight w:val="340"/>
          <w:jc w:val="center"/>
        </w:trPr>
        <w:tc>
          <w:tcPr>
            <w:tcW w:w="426" w:type="dxa"/>
            <w:vMerge/>
            <w:vAlign w:val="center"/>
          </w:tcPr>
          <w:p w14:paraId="43B105EB" w14:textId="77777777" w:rsidR="002A0DE8" w:rsidRPr="005D22E6" w:rsidRDefault="002A0DE8">
            <w:pPr>
              <w:jc w:val="center"/>
              <w:rPr>
                <w:rFonts w:ascii="Times New Roman" w:hAnsi="Times New Roman" w:cs="Times New Roman"/>
                <w:szCs w:val="21"/>
              </w:rPr>
            </w:pPr>
          </w:p>
        </w:tc>
        <w:tc>
          <w:tcPr>
            <w:tcW w:w="1144" w:type="dxa"/>
            <w:vAlign w:val="center"/>
          </w:tcPr>
          <w:p w14:paraId="793CD82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1#</w:t>
            </w:r>
          </w:p>
        </w:tc>
        <w:tc>
          <w:tcPr>
            <w:tcW w:w="1169" w:type="dxa"/>
            <w:vAlign w:val="center"/>
          </w:tcPr>
          <w:p w14:paraId="2E3DD49F"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2#</w:t>
            </w:r>
          </w:p>
        </w:tc>
        <w:tc>
          <w:tcPr>
            <w:tcW w:w="1132" w:type="dxa"/>
            <w:vAlign w:val="center"/>
          </w:tcPr>
          <w:p w14:paraId="151299E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3#</w:t>
            </w:r>
          </w:p>
        </w:tc>
        <w:tc>
          <w:tcPr>
            <w:tcW w:w="1224" w:type="dxa"/>
            <w:vAlign w:val="center"/>
          </w:tcPr>
          <w:p w14:paraId="05A7DB7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4#</w:t>
            </w:r>
          </w:p>
        </w:tc>
        <w:tc>
          <w:tcPr>
            <w:tcW w:w="1145" w:type="dxa"/>
            <w:vAlign w:val="center"/>
          </w:tcPr>
          <w:p w14:paraId="139BFB57"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5#</w:t>
            </w:r>
          </w:p>
        </w:tc>
        <w:tc>
          <w:tcPr>
            <w:tcW w:w="962" w:type="dxa"/>
          </w:tcPr>
          <w:p w14:paraId="6206038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w:t>
            </w:r>
          </w:p>
        </w:tc>
        <w:tc>
          <w:tcPr>
            <w:tcW w:w="1053" w:type="dxa"/>
          </w:tcPr>
          <w:p w14:paraId="1BC26AD3"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7#</w:t>
            </w:r>
          </w:p>
        </w:tc>
      </w:tr>
      <w:tr w:rsidR="002A0DE8" w:rsidRPr="005D22E6" w14:paraId="4EE72DE5" w14:textId="77777777" w:rsidTr="00A0362C">
        <w:trPr>
          <w:gridAfter w:val="1"/>
          <w:wAfter w:w="9" w:type="dxa"/>
          <w:trHeight w:val="340"/>
          <w:jc w:val="center"/>
        </w:trPr>
        <w:tc>
          <w:tcPr>
            <w:tcW w:w="426" w:type="dxa"/>
            <w:vMerge/>
            <w:vAlign w:val="center"/>
          </w:tcPr>
          <w:p w14:paraId="7A584F79" w14:textId="77777777" w:rsidR="002A0DE8" w:rsidRPr="005D22E6" w:rsidRDefault="002A0DE8">
            <w:pPr>
              <w:jc w:val="center"/>
              <w:rPr>
                <w:rFonts w:ascii="Times New Roman" w:hAnsi="Times New Roman" w:cs="Times New Roman"/>
                <w:szCs w:val="21"/>
              </w:rPr>
            </w:pPr>
          </w:p>
        </w:tc>
        <w:tc>
          <w:tcPr>
            <w:tcW w:w="1144" w:type="dxa"/>
            <w:vAlign w:val="center"/>
          </w:tcPr>
          <w:p w14:paraId="28EDD157"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4DC9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22.75pt" o:ole="">
                  <v:imagedata r:id="rId8" o:title=""/>
                </v:shape>
                <o:OLEObject Type="Embed" ProgID="Equation.3" ShapeID="_x0000_i1025" DrawAspect="Content" ObjectID="_1691907929" r:id="rId9"/>
              </w:object>
            </w:r>
          </w:p>
        </w:tc>
        <w:tc>
          <w:tcPr>
            <w:tcW w:w="1169" w:type="dxa"/>
            <w:vAlign w:val="center"/>
          </w:tcPr>
          <w:p w14:paraId="4684BE29"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48BBC44C">
                <v:shape id="_x0000_i1026" type="#_x0000_t75" style="width:17.05pt;height:22.75pt" o:ole="">
                  <v:imagedata r:id="rId8" o:title=""/>
                </v:shape>
                <o:OLEObject Type="Embed" ProgID="Equation.3" ShapeID="_x0000_i1026" DrawAspect="Content" ObjectID="_1691907930" r:id="rId10"/>
              </w:object>
            </w:r>
          </w:p>
        </w:tc>
        <w:tc>
          <w:tcPr>
            <w:tcW w:w="1132" w:type="dxa"/>
            <w:vAlign w:val="center"/>
          </w:tcPr>
          <w:p w14:paraId="6D8016A4"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6666653C">
                <v:shape id="_x0000_i1027" type="#_x0000_t75" style="width:17.05pt;height:22.75pt" o:ole="">
                  <v:imagedata r:id="rId8" o:title=""/>
                </v:shape>
                <o:OLEObject Type="Embed" ProgID="Equation.3" ShapeID="_x0000_i1027" DrawAspect="Content" ObjectID="_1691907931" r:id="rId11"/>
              </w:object>
            </w:r>
          </w:p>
        </w:tc>
        <w:tc>
          <w:tcPr>
            <w:tcW w:w="1224" w:type="dxa"/>
            <w:vAlign w:val="center"/>
          </w:tcPr>
          <w:p w14:paraId="65F1730F"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01468F89">
                <v:shape id="_x0000_i1028" type="#_x0000_t75" style="width:17.05pt;height:22.75pt" o:ole="">
                  <v:imagedata r:id="rId8" o:title=""/>
                </v:shape>
                <o:OLEObject Type="Embed" ProgID="Equation.3" ShapeID="_x0000_i1028" DrawAspect="Content" ObjectID="_1691907932" r:id="rId12"/>
              </w:object>
            </w:r>
          </w:p>
        </w:tc>
        <w:tc>
          <w:tcPr>
            <w:tcW w:w="1145" w:type="dxa"/>
            <w:vAlign w:val="center"/>
          </w:tcPr>
          <w:p w14:paraId="7AD7EC6C"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0AFD1AFE">
                <v:shape id="_x0000_i1029" type="#_x0000_t75" style="width:17.05pt;height:22.75pt" o:ole="">
                  <v:imagedata r:id="rId8" o:title=""/>
                </v:shape>
                <o:OLEObject Type="Embed" ProgID="Equation.3" ShapeID="_x0000_i1029" DrawAspect="Content" ObjectID="_1691907933" r:id="rId13"/>
              </w:object>
            </w:r>
          </w:p>
        </w:tc>
        <w:tc>
          <w:tcPr>
            <w:tcW w:w="962" w:type="dxa"/>
          </w:tcPr>
          <w:p w14:paraId="4895F39B"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2B0139CC">
                <v:shape id="_x0000_i1030" type="#_x0000_t75" style="width:17.05pt;height:22.75pt" o:ole="">
                  <v:imagedata r:id="rId8" o:title=""/>
                </v:shape>
                <o:OLEObject Type="Embed" ProgID="Equation.3" ShapeID="_x0000_i1030" DrawAspect="Content" ObjectID="_1691907934" r:id="rId14"/>
              </w:object>
            </w:r>
          </w:p>
        </w:tc>
        <w:tc>
          <w:tcPr>
            <w:tcW w:w="1053" w:type="dxa"/>
          </w:tcPr>
          <w:p w14:paraId="3BAF4B43" w14:textId="77777777" w:rsidR="002A0DE8" w:rsidRPr="005D22E6" w:rsidRDefault="003B5264">
            <w:pPr>
              <w:jc w:val="center"/>
              <w:rPr>
                <w:rFonts w:ascii="Times New Roman" w:hAnsi="Times New Roman" w:cs="Times New Roman"/>
                <w:szCs w:val="21"/>
              </w:rPr>
            </w:pPr>
            <w:r w:rsidRPr="005D22E6">
              <w:rPr>
                <w:rFonts w:ascii="Times New Roman" w:hAnsi="Times New Roman" w:cs="Times New Roman"/>
                <w:szCs w:val="21"/>
              </w:rPr>
              <w:object w:dxaOrig="346" w:dyaOrig="438" w14:anchorId="69131CF0">
                <v:shape id="_x0000_i1031" type="#_x0000_t75" style="width:17.05pt;height:22.75pt" o:ole="">
                  <v:imagedata r:id="rId8" o:title=""/>
                </v:shape>
                <o:OLEObject Type="Embed" ProgID="Equation.3" ShapeID="_x0000_i1031" DrawAspect="Content" ObjectID="_1691907935" r:id="rId15"/>
              </w:object>
            </w:r>
          </w:p>
        </w:tc>
      </w:tr>
      <w:tr w:rsidR="002A0DE8" w:rsidRPr="005D22E6" w14:paraId="2A60B8DC" w14:textId="77777777" w:rsidTr="00A0362C">
        <w:trPr>
          <w:gridAfter w:val="1"/>
          <w:wAfter w:w="9" w:type="dxa"/>
          <w:trHeight w:val="340"/>
          <w:jc w:val="center"/>
        </w:trPr>
        <w:tc>
          <w:tcPr>
            <w:tcW w:w="426" w:type="dxa"/>
            <w:vAlign w:val="center"/>
          </w:tcPr>
          <w:p w14:paraId="15D87AE4"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CEF485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0.81</w:t>
            </w:r>
          </w:p>
        </w:tc>
        <w:tc>
          <w:tcPr>
            <w:tcW w:w="1169" w:type="dxa"/>
            <w:tcBorders>
              <w:top w:val="single" w:sz="4" w:space="0" w:color="auto"/>
              <w:left w:val="nil"/>
              <w:bottom w:val="single" w:sz="4" w:space="0" w:color="auto"/>
              <w:right w:val="single" w:sz="4" w:space="0" w:color="auto"/>
            </w:tcBorders>
            <w:shd w:val="clear" w:color="auto" w:fill="auto"/>
            <w:vAlign w:val="center"/>
          </w:tcPr>
          <w:p w14:paraId="72B7A87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2.72</w:t>
            </w:r>
          </w:p>
        </w:tc>
        <w:tc>
          <w:tcPr>
            <w:tcW w:w="1132" w:type="dxa"/>
            <w:tcBorders>
              <w:top w:val="single" w:sz="4" w:space="0" w:color="auto"/>
              <w:left w:val="nil"/>
              <w:bottom w:val="single" w:sz="4" w:space="0" w:color="auto"/>
              <w:right w:val="single" w:sz="4" w:space="0" w:color="auto"/>
            </w:tcBorders>
            <w:shd w:val="clear" w:color="auto" w:fill="auto"/>
            <w:vAlign w:val="center"/>
          </w:tcPr>
          <w:p w14:paraId="0AC7D706"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6.33</w:t>
            </w:r>
          </w:p>
        </w:tc>
        <w:tc>
          <w:tcPr>
            <w:tcW w:w="1224" w:type="dxa"/>
            <w:tcBorders>
              <w:top w:val="single" w:sz="4" w:space="0" w:color="auto"/>
              <w:left w:val="nil"/>
              <w:bottom w:val="single" w:sz="4" w:space="0" w:color="auto"/>
              <w:right w:val="single" w:sz="4" w:space="0" w:color="auto"/>
            </w:tcBorders>
            <w:shd w:val="clear" w:color="auto" w:fill="auto"/>
            <w:vAlign w:val="center"/>
          </w:tcPr>
          <w:p w14:paraId="2F90AE5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13.58</w:t>
            </w:r>
          </w:p>
        </w:tc>
        <w:tc>
          <w:tcPr>
            <w:tcW w:w="1145" w:type="dxa"/>
            <w:tcBorders>
              <w:top w:val="single" w:sz="4" w:space="0" w:color="auto"/>
              <w:left w:val="nil"/>
              <w:bottom w:val="single" w:sz="4" w:space="0" w:color="auto"/>
              <w:right w:val="single" w:sz="4" w:space="0" w:color="auto"/>
            </w:tcBorders>
            <w:shd w:val="clear" w:color="auto" w:fill="auto"/>
            <w:vAlign w:val="center"/>
          </w:tcPr>
          <w:p w14:paraId="5C7DED91"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17.32</w:t>
            </w:r>
          </w:p>
        </w:tc>
        <w:tc>
          <w:tcPr>
            <w:tcW w:w="962" w:type="dxa"/>
            <w:tcBorders>
              <w:top w:val="single" w:sz="4" w:space="0" w:color="auto"/>
              <w:left w:val="nil"/>
              <w:bottom w:val="single" w:sz="4" w:space="0" w:color="auto"/>
              <w:right w:val="single" w:sz="4" w:space="0" w:color="auto"/>
            </w:tcBorders>
            <w:vAlign w:val="center"/>
          </w:tcPr>
          <w:p w14:paraId="660FADF6"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34.13</w:t>
            </w:r>
          </w:p>
        </w:tc>
        <w:tc>
          <w:tcPr>
            <w:tcW w:w="1053" w:type="dxa"/>
            <w:tcBorders>
              <w:top w:val="single" w:sz="4" w:space="0" w:color="auto"/>
              <w:left w:val="nil"/>
              <w:bottom w:val="single" w:sz="4" w:space="0" w:color="auto"/>
              <w:right w:val="single" w:sz="4" w:space="0" w:color="auto"/>
            </w:tcBorders>
            <w:vAlign w:val="center"/>
          </w:tcPr>
          <w:p w14:paraId="0291B1DA"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40.81</w:t>
            </w:r>
          </w:p>
        </w:tc>
      </w:tr>
      <w:tr w:rsidR="002A0DE8" w:rsidRPr="005D22E6" w14:paraId="5D8D3AE0" w14:textId="77777777" w:rsidTr="00A0362C">
        <w:trPr>
          <w:gridAfter w:val="1"/>
          <w:wAfter w:w="9" w:type="dxa"/>
          <w:trHeight w:val="340"/>
          <w:jc w:val="center"/>
        </w:trPr>
        <w:tc>
          <w:tcPr>
            <w:tcW w:w="426" w:type="dxa"/>
            <w:vAlign w:val="center"/>
          </w:tcPr>
          <w:p w14:paraId="5BA0A065"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2</w:t>
            </w:r>
          </w:p>
        </w:tc>
        <w:tc>
          <w:tcPr>
            <w:tcW w:w="1144" w:type="dxa"/>
            <w:tcBorders>
              <w:top w:val="nil"/>
              <w:left w:val="single" w:sz="4" w:space="0" w:color="auto"/>
              <w:bottom w:val="single" w:sz="4" w:space="0" w:color="auto"/>
              <w:right w:val="single" w:sz="4" w:space="0" w:color="auto"/>
            </w:tcBorders>
            <w:shd w:val="clear" w:color="auto" w:fill="auto"/>
            <w:vAlign w:val="center"/>
          </w:tcPr>
          <w:p w14:paraId="3C3636A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0.70</w:t>
            </w:r>
          </w:p>
        </w:tc>
        <w:tc>
          <w:tcPr>
            <w:tcW w:w="1169" w:type="dxa"/>
            <w:tcBorders>
              <w:top w:val="nil"/>
              <w:left w:val="nil"/>
              <w:bottom w:val="single" w:sz="4" w:space="0" w:color="auto"/>
              <w:right w:val="single" w:sz="4" w:space="0" w:color="auto"/>
            </w:tcBorders>
            <w:shd w:val="clear" w:color="auto" w:fill="auto"/>
            <w:vAlign w:val="center"/>
          </w:tcPr>
          <w:p w14:paraId="06DC91F2"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2.67</w:t>
            </w:r>
          </w:p>
        </w:tc>
        <w:tc>
          <w:tcPr>
            <w:tcW w:w="1132" w:type="dxa"/>
            <w:tcBorders>
              <w:top w:val="nil"/>
              <w:left w:val="nil"/>
              <w:bottom w:val="single" w:sz="4" w:space="0" w:color="auto"/>
              <w:right w:val="single" w:sz="4" w:space="0" w:color="auto"/>
            </w:tcBorders>
            <w:shd w:val="clear" w:color="auto" w:fill="auto"/>
            <w:vAlign w:val="center"/>
          </w:tcPr>
          <w:p w14:paraId="56D7B77F"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6.21</w:t>
            </w:r>
          </w:p>
        </w:tc>
        <w:tc>
          <w:tcPr>
            <w:tcW w:w="1224" w:type="dxa"/>
            <w:tcBorders>
              <w:top w:val="nil"/>
              <w:left w:val="nil"/>
              <w:bottom w:val="single" w:sz="4" w:space="0" w:color="auto"/>
              <w:right w:val="single" w:sz="4" w:space="0" w:color="auto"/>
            </w:tcBorders>
            <w:shd w:val="clear" w:color="auto" w:fill="auto"/>
            <w:vAlign w:val="center"/>
          </w:tcPr>
          <w:p w14:paraId="2CA76106"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13.28</w:t>
            </w:r>
          </w:p>
        </w:tc>
        <w:tc>
          <w:tcPr>
            <w:tcW w:w="1145" w:type="dxa"/>
            <w:tcBorders>
              <w:top w:val="nil"/>
              <w:left w:val="nil"/>
              <w:bottom w:val="single" w:sz="4" w:space="0" w:color="auto"/>
              <w:right w:val="single" w:sz="4" w:space="0" w:color="auto"/>
            </w:tcBorders>
            <w:shd w:val="clear" w:color="auto" w:fill="auto"/>
            <w:vAlign w:val="center"/>
          </w:tcPr>
          <w:p w14:paraId="2C41ED83"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17.03</w:t>
            </w:r>
          </w:p>
        </w:tc>
        <w:tc>
          <w:tcPr>
            <w:tcW w:w="962" w:type="dxa"/>
            <w:tcBorders>
              <w:top w:val="nil"/>
              <w:left w:val="nil"/>
              <w:bottom w:val="single" w:sz="4" w:space="0" w:color="auto"/>
              <w:right w:val="single" w:sz="4" w:space="0" w:color="auto"/>
            </w:tcBorders>
            <w:vAlign w:val="center"/>
          </w:tcPr>
          <w:p w14:paraId="78417541"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33.75</w:t>
            </w:r>
          </w:p>
        </w:tc>
        <w:tc>
          <w:tcPr>
            <w:tcW w:w="1053" w:type="dxa"/>
            <w:tcBorders>
              <w:top w:val="nil"/>
              <w:left w:val="nil"/>
              <w:bottom w:val="single" w:sz="4" w:space="0" w:color="auto"/>
              <w:right w:val="single" w:sz="4" w:space="0" w:color="auto"/>
            </w:tcBorders>
            <w:vAlign w:val="center"/>
          </w:tcPr>
          <w:p w14:paraId="023C4770"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40.52</w:t>
            </w:r>
          </w:p>
        </w:tc>
      </w:tr>
      <w:tr w:rsidR="002A0DE8" w:rsidRPr="005D22E6" w14:paraId="11A6659D" w14:textId="77777777" w:rsidTr="00A0362C">
        <w:trPr>
          <w:gridAfter w:val="1"/>
          <w:wAfter w:w="9" w:type="dxa"/>
          <w:trHeight w:val="340"/>
          <w:jc w:val="center"/>
        </w:trPr>
        <w:tc>
          <w:tcPr>
            <w:tcW w:w="426" w:type="dxa"/>
            <w:vAlign w:val="center"/>
          </w:tcPr>
          <w:p w14:paraId="0E187D25"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3</w:t>
            </w:r>
          </w:p>
        </w:tc>
        <w:tc>
          <w:tcPr>
            <w:tcW w:w="1144" w:type="dxa"/>
            <w:tcBorders>
              <w:top w:val="nil"/>
              <w:left w:val="single" w:sz="4" w:space="0" w:color="auto"/>
              <w:bottom w:val="single" w:sz="4" w:space="0" w:color="auto"/>
              <w:right w:val="single" w:sz="4" w:space="0" w:color="auto"/>
            </w:tcBorders>
            <w:shd w:val="clear" w:color="auto" w:fill="auto"/>
            <w:vAlign w:val="center"/>
          </w:tcPr>
          <w:p w14:paraId="5C85AFC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0.62</w:t>
            </w:r>
          </w:p>
        </w:tc>
        <w:tc>
          <w:tcPr>
            <w:tcW w:w="1169" w:type="dxa"/>
            <w:tcBorders>
              <w:top w:val="nil"/>
              <w:left w:val="nil"/>
              <w:bottom w:val="single" w:sz="4" w:space="0" w:color="auto"/>
              <w:right w:val="single" w:sz="4" w:space="0" w:color="auto"/>
            </w:tcBorders>
            <w:shd w:val="clear" w:color="auto" w:fill="auto"/>
            <w:vAlign w:val="center"/>
          </w:tcPr>
          <w:p w14:paraId="0FB5867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2.79</w:t>
            </w:r>
          </w:p>
        </w:tc>
        <w:tc>
          <w:tcPr>
            <w:tcW w:w="1132" w:type="dxa"/>
            <w:tcBorders>
              <w:top w:val="nil"/>
              <w:left w:val="nil"/>
              <w:bottom w:val="single" w:sz="4" w:space="0" w:color="auto"/>
              <w:right w:val="single" w:sz="4" w:space="0" w:color="auto"/>
            </w:tcBorders>
            <w:shd w:val="clear" w:color="auto" w:fill="auto"/>
            <w:vAlign w:val="center"/>
          </w:tcPr>
          <w:p w14:paraId="41F451E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6.13</w:t>
            </w:r>
          </w:p>
        </w:tc>
        <w:tc>
          <w:tcPr>
            <w:tcW w:w="1224" w:type="dxa"/>
            <w:tcBorders>
              <w:top w:val="nil"/>
              <w:left w:val="nil"/>
              <w:bottom w:val="single" w:sz="4" w:space="0" w:color="auto"/>
              <w:right w:val="single" w:sz="4" w:space="0" w:color="auto"/>
            </w:tcBorders>
            <w:shd w:val="clear" w:color="auto" w:fill="auto"/>
            <w:vAlign w:val="center"/>
          </w:tcPr>
          <w:p w14:paraId="54F7007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13.22</w:t>
            </w:r>
          </w:p>
        </w:tc>
        <w:tc>
          <w:tcPr>
            <w:tcW w:w="1145" w:type="dxa"/>
            <w:tcBorders>
              <w:top w:val="nil"/>
              <w:left w:val="nil"/>
              <w:bottom w:val="single" w:sz="4" w:space="0" w:color="auto"/>
              <w:right w:val="single" w:sz="4" w:space="0" w:color="auto"/>
            </w:tcBorders>
            <w:shd w:val="clear" w:color="auto" w:fill="auto"/>
            <w:vAlign w:val="center"/>
          </w:tcPr>
          <w:p w14:paraId="22DA484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17.13</w:t>
            </w:r>
          </w:p>
        </w:tc>
        <w:tc>
          <w:tcPr>
            <w:tcW w:w="962" w:type="dxa"/>
            <w:tcBorders>
              <w:top w:val="nil"/>
              <w:left w:val="nil"/>
              <w:bottom w:val="single" w:sz="4" w:space="0" w:color="auto"/>
              <w:right w:val="single" w:sz="4" w:space="0" w:color="auto"/>
            </w:tcBorders>
            <w:vAlign w:val="center"/>
          </w:tcPr>
          <w:p w14:paraId="2B146EB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33.99</w:t>
            </w:r>
          </w:p>
        </w:tc>
        <w:tc>
          <w:tcPr>
            <w:tcW w:w="1053" w:type="dxa"/>
            <w:tcBorders>
              <w:top w:val="nil"/>
              <w:left w:val="nil"/>
              <w:bottom w:val="single" w:sz="4" w:space="0" w:color="auto"/>
              <w:right w:val="single" w:sz="4" w:space="0" w:color="auto"/>
            </w:tcBorders>
            <w:vAlign w:val="center"/>
          </w:tcPr>
          <w:p w14:paraId="49E92E6A"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40.32</w:t>
            </w:r>
          </w:p>
        </w:tc>
      </w:tr>
      <w:tr w:rsidR="002A0DE8" w:rsidRPr="005D22E6" w14:paraId="548710AE" w14:textId="77777777" w:rsidTr="00A0362C">
        <w:trPr>
          <w:gridAfter w:val="1"/>
          <w:wAfter w:w="9" w:type="dxa"/>
          <w:trHeight w:val="340"/>
          <w:jc w:val="center"/>
        </w:trPr>
        <w:tc>
          <w:tcPr>
            <w:tcW w:w="426" w:type="dxa"/>
            <w:vAlign w:val="center"/>
          </w:tcPr>
          <w:p w14:paraId="3794E7F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4</w:t>
            </w:r>
          </w:p>
        </w:tc>
        <w:tc>
          <w:tcPr>
            <w:tcW w:w="1144" w:type="dxa"/>
            <w:tcBorders>
              <w:top w:val="nil"/>
              <w:left w:val="single" w:sz="4" w:space="0" w:color="auto"/>
              <w:bottom w:val="single" w:sz="4" w:space="0" w:color="auto"/>
              <w:right w:val="single" w:sz="4" w:space="0" w:color="auto"/>
            </w:tcBorders>
            <w:shd w:val="clear" w:color="auto" w:fill="auto"/>
            <w:vAlign w:val="center"/>
          </w:tcPr>
          <w:p w14:paraId="6694B857"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0.81</w:t>
            </w:r>
          </w:p>
        </w:tc>
        <w:tc>
          <w:tcPr>
            <w:tcW w:w="1169" w:type="dxa"/>
            <w:tcBorders>
              <w:top w:val="nil"/>
              <w:left w:val="nil"/>
              <w:bottom w:val="single" w:sz="4" w:space="0" w:color="auto"/>
              <w:right w:val="single" w:sz="4" w:space="0" w:color="auto"/>
            </w:tcBorders>
            <w:shd w:val="clear" w:color="auto" w:fill="auto"/>
            <w:vAlign w:val="center"/>
          </w:tcPr>
          <w:p w14:paraId="7270BCD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2.94</w:t>
            </w:r>
          </w:p>
        </w:tc>
        <w:tc>
          <w:tcPr>
            <w:tcW w:w="1132" w:type="dxa"/>
            <w:tcBorders>
              <w:top w:val="nil"/>
              <w:left w:val="nil"/>
              <w:bottom w:val="single" w:sz="4" w:space="0" w:color="auto"/>
              <w:right w:val="single" w:sz="4" w:space="0" w:color="auto"/>
            </w:tcBorders>
            <w:shd w:val="clear" w:color="auto" w:fill="auto"/>
            <w:vAlign w:val="center"/>
          </w:tcPr>
          <w:p w14:paraId="6A0A73A0"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6.36</w:t>
            </w:r>
          </w:p>
        </w:tc>
        <w:tc>
          <w:tcPr>
            <w:tcW w:w="1224" w:type="dxa"/>
            <w:tcBorders>
              <w:top w:val="nil"/>
              <w:left w:val="nil"/>
              <w:bottom w:val="single" w:sz="4" w:space="0" w:color="auto"/>
              <w:right w:val="single" w:sz="4" w:space="0" w:color="auto"/>
            </w:tcBorders>
            <w:shd w:val="clear" w:color="auto" w:fill="auto"/>
            <w:vAlign w:val="center"/>
          </w:tcPr>
          <w:p w14:paraId="2E02BF61"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13.42</w:t>
            </w:r>
          </w:p>
        </w:tc>
        <w:tc>
          <w:tcPr>
            <w:tcW w:w="1145" w:type="dxa"/>
            <w:tcBorders>
              <w:top w:val="nil"/>
              <w:left w:val="nil"/>
              <w:bottom w:val="single" w:sz="4" w:space="0" w:color="auto"/>
              <w:right w:val="single" w:sz="4" w:space="0" w:color="auto"/>
            </w:tcBorders>
            <w:shd w:val="clear" w:color="auto" w:fill="auto"/>
            <w:vAlign w:val="center"/>
          </w:tcPr>
          <w:p w14:paraId="3A74C88D"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16.98</w:t>
            </w:r>
          </w:p>
        </w:tc>
        <w:tc>
          <w:tcPr>
            <w:tcW w:w="962" w:type="dxa"/>
            <w:tcBorders>
              <w:top w:val="nil"/>
              <w:left w:val="nil"/>
              <w:bottom w:val="single" w:sz="4" w:space="0" w:color="auto"/>
              <w:right w:val="single" w:sz="4" w:space="0" w:color="auto"/>
            </w:tcBorders>
            <w:vAlign w:val="center"/>
          </w:tcPr>
          <w:p w14:paraId="2D3E9AAC"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33.76</w:t>
            </w:r>
          </w:p>
        </w:tc>
        <w:tc>
          <w:tcPr>
            <w:tcW w:w="1053" w:type="dxa"/>
            <w:tcBorders>
              <w:top w:val="nil"/>
              <w:left w:val="nil"/>
              <w:bottom w:val="single" w:sz="4" w:space="0" w:color="auto"/>
              <w:right w:val="single" w:sz="4" w:space="0" w:color="auto"/>
            </w:tcBorders>
            <w:vAlign w:val="center"/>
          </w:tcPr>
          <w:p w14:paraId="55C07CF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40.65</w:t>
            </w:r>
          </w:p>
        </w:tc>
      </w:tr>
      <w:tr w:rsidR="002A0DE8" w:rsidRPr="005D22E6" w14:paraId="6C42D87F" w14:textId="77777777" w:rsidTr="00A0362C">
        <w:trPr>
          <w:gridAfter w:val="1"/>
          <w:wAfter w:w="9" w:type="dxa"/>
          <w:trHeight w:val="340"/>
          <w:jc w:val="center"/>
        </w:trPr>
        <w:tc>
          <w:tcPr>
            <w:tcW w:w="426" w:type="dxa"/>
            <w:vAlign w:val="center"/>
          </w:tcPr>
          <w:p w14:paraId="5C97D434"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5</w:t>
            </w:r>
          </w:p>
        </w:tc>
        <w:tc>
          <w:tcPr>
            <w:tcW w:w="1144" w:type="dxa"/>
            <w:tcBorders>
              <w:top w:val="nil"/>
              <w:left w:val="single" w:sz="4" w:space="0" w:color="auto"/>
              <w:bottom w:val="single" w:sz="4" w:space="0" w:color="auto"/>
              <w:right w:val="single" w:sz="4" w:space="0" w:color="auto"/>
            </w:tcBorders>
            <w:shd w:val="clear" w:color="auto" w:fill="auto"/>
            <w:vAlign w:val="center"/>
          </w:tcPr>
          <w:p w14:paraId="47B4A56F"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0.71</w:t>
            </w:r>
          </w:p>
        </w:tc>
        <w:tc>
          <w:tcPr>
            <w:tcW w:w="1169" w:type="dxa"/>
            <w:tcBorders>
              <w:top w:val="nil"/>
              <w:left w:val="nil"/>
              <w:bottom w:val="single" w:sz="4" w:space="0" w:color="auto"/>
              <w:right w:val="single" w:sz="4" w:space="0" w:color="auto"/>
            </w:tcBorders>
            <w:shd w:val="clear" w:color="auto" w:fill="auto"/>
            <w:vAlign w:val="center"/>
          </w:tcPr>
          <w:p w14:paraId="783B654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2.94</w:t>
            </w:r>
          </w:p>
        </w:tc>
        <w:tc>
          <w:tcPr>
            <w:tcW w:w="1132" w:type="dxa"/>
            <w:tcBorders>
              <w:top w:val="nil"/>
              <w:left w:val="nil"/>
              <w:bottom w:val="single" w:sz="4" w:space="0" w:color="auto"/>
              <w:right w:val="single" w:sz="4" w:space="0" w:color="auto"/>
            </w:tcBorders>
            <w:shd w:val="clear" w:color="auto" w:fill="auto"/>
            <w:vAlign w:val="center"/>
          </w:tcPr>
          <w:p w14:paraId="19A9E383"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6.46</w:t>
            </w:r>
          </w:p>
        </w:tc>
        <w:tc>
          <w:tcPr>
            <w:tcW w:w="1224" w:type="dxa"/>
            <w:tcBorders>
              <w:top w:val="nil"/>
              <w:left w:val="nil"/>
              <w:bottom w:val="single" w:sz="4" w:space="0" w:color="auto"/>
              <w:right w:val="single" w:sz="4" w:space="0" w:color="auto"/>
            </w:tcBorders>
            <w:shd w:val="clear" w:color="auto" w:fill="auto"/>
            <w:vAlign w:val="center"/>
          </w:tcPr>
          <w:p w14:paraId="2589D66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13.19</w:t>
            </w:r>
          </w:p>
        </w:tc>
        <w:tc>
          <w:tcPr>
            <w:tcW w:w="1145" w:type="dxa"/>
            <w:tcBorders>
              <w:top w:val="nil"/>
              <w:left w:val="nil"/>
              <w:bottom w:val="single" w:sz="4" w:space="0" w:color="auto"/>
              <w:right w:val="single" w:sz="4" w:space="0" w:color="auto"/>
            </w:tcBorders>
            <w:shd w:val="clear" w:color="auto" w:fill="auto"/>
            <w:vAlign w:val="center"/>
          </w:tcPr>
          <w:p w14:paraId="33F32800"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17.26</w:t>
            </w:r>
          </w:p>
        </w:tc>
        <w:tc>
          <w:tcPr>
            <w:tcW w:w="962" w:type="dxa"/>
            <w:tcBorders>
              <w:top w:val="nil"/>
              <w:left w:val="nil"/>
              <w:bottom w:val="single" w:sz="4" w:space="0" w:color="auto"/>
              <w:right w:val="single" w:sz="4" w:space="0" w:color="auto"/>
            </w:tcBorders>
            <w:vAlign w:val="center"/>
          </w:tcPr>
          <w:p w14:paraId="12526823"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33.66</w:t>
            </w:r>
          </w:p>
        </w:tc>
        <w:tc>
          <w:tcPr>
            <w:tcW w:w="1053" w:type="dxa"/>
            <w:tcBorders>
              <w:top w:val="nil"/>
              <w:left w:val="nil"/>
              <w:bottom w:val="single" w:sz="4" w:space="0" w:color="auto"/>
              <w:right w:val="single" w:sz="4" w:space="0" w:color="auto"/>
            </w:tcBorders>
            <w:vAlign w:val="center"/>
          </w:tcPr>
          <w:p w14:paraId="7E71BBE9"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40.45</w:t>
            </w:r>
          </w:p>
        </w:tc>
      </w:tr>
      <w:tr w:rsidR="002A0DE8" w:rsidRPr="005D22E6" w14:paraId="2A26BDCC" w14:textId="77777777" w:rsidTr="00A0362C">
        <w:trPr>
          <w:gridAfter w:val="1"/>
          <w:wAfter w:w="9" w:type="dxa"/>
          <w:trHeight w:val="340"/>
          <w:jc w:val="center"/>
        </w:trPr>
        <w:tc>
          <w:tcPr>
            <w:tcW w:w="426" w:type="dxa"/>
            <w:vAlign w:val="center"/>
          </w:tcPr>
          <w:p w14:paraId="5B786DE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6</w:t>
            </w:r>
          </w:p>
        </w:tc>
        <w:tc>
          <w:tcPr>
            <w:tcW w:w="1144" w:type="dxa"/>
            <w:tcBorders>
              <w:top w:val="nil"/>
              <w:left w:val="single" w:sz="4" w:space="0" w:color="auto"/>
              <w:bottom w:val="single" w:sz="4" w:space="0" w:color="auto"/>
              <w:right w:val="single" w:sz="4" w:space="0" w:color="auto"/>
            </w:tcBorders>
            <w:shd w:val="clear" w:color="auto" w:fill="auto"/>
            <w:vAlign w:val="center"/>
          </w:tcPr>
          <w:p w14:paraId="361D3B2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0.75</w:t>
            </w:r>
          </w:p>
        </w:tc>
        <w:tc>
          <w:tcPr>
            <w:tcW w:w="1169" w:type="dxa"/>
            <w:tcBorders>
              <w:top w:val="nil"/>
              <w:left w:val="nil"/>
              <w:bottom w:val="single" w:sz="4" w:space="0" w:color="auto"/>
              <w:right w:val="single" w:sz="4" w:space="0" w:color="auto"/>
            </w:tcBorders>
            <w:shd w:val="clear" w:color="auto" w:fill="auto"/>
            <w:vAlign w:val="center"/>
          </w:tcPr>
          <w:p w14:paraId="1A73AAF4"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2.77</w:t>
            </w:r>
          </w:p>
        </w:tc>
        <w:tc>
          <w:tcPr>
            <w:tcW w:w="1132" w:type="dxa"/>
            <w:tcBorders>
              <w:top w:val="nil"/>
              <w:left w:val="nil"/>
              <w:bottom w:val="single" w:sz="4" w:space="0" w:color="auto"/>
              <w:right w:val="single" w:sz="4" w:space="0" w:color="auto"/>
            </w:tcBorders>
            <w:shd w:val="clear" w:color="auto" w:fill="auto"/>
            <w:vAlign w:val="center"/>
          </w:tcPr>
          <w:p w14:paraId="62720D4F"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6.33</w:t>
            </w:r>
          </w:p>
        </w:tc>
        <w:tc>
          <w:tcPr>
            <w:tcW w:w="1224" w:type="dxa"/>
            <w:tcBorders>
              <w:top w:val="nil"/>
              <w:left w:val="nil"/>
              <w:bottom w:val="single" w:sz="4" w:space="0" w:color="auto"/>
              <w:right w:val="single" w:sz="4" w:space="0" w:color="auto"/>
            </w:tcBorders>
            <w:shd w:val="clear" w:color="auto" w:fill="auto"/>
            <w:vAlign w:val="center"/>
          </w:tcPr>
          <w:p w14:paraId="4C75722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13.23</w:t>
            </w:r>
          </w:p>
        </w:tc>
        <w:tc>
          <w:tcPr>
            <w:tcW w:w="1145" w:type="dxa"/>
            <w:tcBorders>
              <w:top w:val="nil"/>
              <w:left w:val="nil"/>
              <w:bottom w:val="single" w:sz="4" w:space="0" w:color="auto"/>
              <w:right w:val="single" w:sz="4" w:space="0" w:color="auto"/>
            </w:tcBorders>
            <w:shd w:val="clear" w:color="auto" w:fill="auto"/>
            <w:vAlign w:val="center"/>
          </w:tcPr>
          <w:p w14:paraId="50A935E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17.09</w:t>
            </w:r>
          </w:p>
        </w:tc>
        <w:tc>
          <w:tcPr>
            <w:tcW w:w="962" w:type="dxa"/>
            <w:tcBorders>
              <w:top w:val="nil"/>
              <w:left w:val="nil"/>
              <w:bottom w:val="single" w:sz="4" w:space="0" w:color="auto"/>
              <w:right w:val="single" w:sz="4" w:space="0" w:color="auto"/>
            </w:tcBorders>
            <w:vAlign w:val="center"/>
          </w:tcPr>
          <w:p w14:paraId="0686DDA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33.74</w:t>
            </w:r>
          </w:p>
        </w:tc>
        <w:tc>
          <w:tcPr>
            <w:tcW w:w="1053" w:type="dxa"/>
            <w:tcBorders>
              <w:top w:val="nil"/>
              <w:left w:val="nil"/>
              <w:bottom w:val="single" w:sz="4" w:space="0" w:color="auto"/>
              <w:right w:val="single" w:sz="4" w:space="0" w:color="auto"/>
            </w:tcBorders>
            <w:vAlign w:val="center"/>
          </w:tcPr>
          <w:p w14:paraId="7EF2229C"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40.48</w:t>
            </w:r>
          </w:p>
        </w:tc>
      </w:tr>
      <w:tr w:rsidR="002A0DE8" w:rsidRPr="005D22E6" w14:paraId="7C1ED676" w14:textId="77777777" w:rsidTr="00A0362C">
        <w:trPr>
          <w:gridAfter w:val="1"/>
          <w:wAfter w:w="9" w:type="dxa"/>
          <w:trHeight w:val="340"/>
          <w:jc w:val="center"/>
        </w:trPr>
        <w:tc>
          <w:tcPr>
            <w:tcW w:w="426" w:type="dxa"/>
            <w:vAlign w:val="center"/>
          </w:tcPr>
          <w:p w14:paraId="2B4C102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7</w:t>
            </w:r>
          </w:p>
        </w:tc>
        <w:tc>
          <w:tcPr>
            <w:tcW w:w="1144" w:type="dxa"/>
            <w:tcBorders>
              <w:top w:val="nil"/>
              <w:left w:val="single" w:sz="4" w:space="0" w:color="auto"/>
              <w:bottom w:val="single" w:sz="4" w:space="0" w:color="auto"/>
              <w:right w:val="single" w:sz="4" w:space="0" w:color="auto"/>
            </w:tcBorders>
            <w:shd w:val="clear" w:color="auto" w:fill="auto"/>
            <w:vAlign w:val="center"/>
          </w:tcPr>
          <w:p w14:paraId="2014883A"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0.79</w:t>
            </w:r>
          </w:p>
        </w:tc>
        <w:tc>
          <w:tcPr>
            <w:tcW w:w="1169" w:type="dxa"/>
            <w:tcBorders>
              <w:top w:val="nil"/>
              <w:left w:val="nil"/>
              <w:bottom w:val="single" w:sz="4" w:space="0" w:color="auto"/>
              <w:right w:val="single" w:sz="4" w:space="0" w:color="auto"/>
            </w:tcBorders>
            <w:shd w:val="clear" w:color="auto" w:fill="auto"/>
            <w:vAlign w:val="center"/>
          </w:tcPr>
          <w:p w14:paraId="4EBAEDAA"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2.79</w:t>
            </w:r>
          </w:p>
        </w:tc>
        <w:tc>
          <w:tcPr>
            <w:tcW w:w="1132" w:type="dxa"/>
            <w:tcBorders>
              <w:top w:val="nil"/>
              <w:left w:val="nil"/>
              <w:bottom w:val="single" w:sz="4" w:space="0" w:color="auto"/>
              <w:right w:val="single" w:sz="4" w:space="0" w:color="auto"/>
            </w:tcBorders>
            <w:shd w:val="clear" w:color="auto" w:fill="auto"/>
            <w:vAlign w:val="center"/>
          </w:tcPr>
          <w:p w14:paraId="743C6F5E"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6.50</w:t>
            </w:r>
          </w:p>
        </w:tc>
        <w:tc>
          <w:tcPr>
            <w:tcW w:w="1224" w:type="dxa"/>
            <w:tcBorders>
              <w:top w:val="nil"/>
              <w:left w:val="nil"/>
              <w:bottom w:val="single" w:sz="4" w:space="0" w:color="auto"/>
              <w:right w:val="single" w:sz="4" w:space="0" w:color="auto"/>
            </w:tcBorders>
            <w:shd w:val="clear" w:color="auto" w:fill="auto"/>
            <w:vAlign w:val="center"/>
          </w:tcPr>
          <w:p w14:paraId="4D89567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13.58</w:t>
            </w:r>
          </w:p>
        </w:tc>
        <w:tc>
          <w:tcPr>
            <w:tcW w:w="1145" w:type="dxa"/>
            <w:tcBorders>
              <w:top w:val="nil"/>
              <w:left w:val="nil"/>
              <w:bottom w:val="single" w:sz="4" w:space="0" w:color="auto"/>
              <w:right w:val="single" w:sz="4" w:space="0" w:color="auto"/>
            </w:tcBorders>
            <w:shd w:val="clear" w:color="auto" w:fill="auto"/>
            <w:vAlign w:val="center"/>
          </w:tcPr>
          <w:p w14:paraId="28C71409"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17.38</w:t>
            </w:r>
          </w:p>
        </w:tc>
        <w:tc>
          <w:tcPr>
            <w:tcW w:w="962" w:type="dxa"/>
            <w:tcBorders>
              <w:top w:val="nil"/>
              <w:left w:val="nil"/>
              <w:bottom w:val="single" w:sz="4" w:space="0" w:color="auto"/>
              <w:right w:val="single" w:sz="4" w:space="0" w:color="auto"/>
            </w:tcBorders>
            <w:vAlign w:val="center"/>
          </w:tcPr>
          <w:p w14:paraId="785859F5"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34.15</w:t>
            </w:r>
          </w:p>
        </w:tc>
        <w:tc>
          <w:tcPr>
            <w:tcW w:w="1053" w:type="dxa"/>
            <w:tcBorders>
              <w:top w:val="nil"/>
              <w:left w:val="nil"/>
              <w:bottom w:val="single" w:sz="4" w:space="0" w:color="auto"/>
              <w:right w:val="single" w:sz="4" w:space="0" w:color="auto"/>
            </w:tcBorders>
            <w:vAlign w:val="center"/>
          </w:tcPr>
          <w:p w14:paraId="70801126"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40.76</w:t>
            </w:r>
          </w:p>
        </w:tc>
      </w:tr>
      <w:tr w:rsidR="002A0DE8" w:rsidRPr="005D22E6" w14:paraId="58548D95" w14:textId="77777777" w:rsidTr="00A0362C">
        <w:trPr>
          <w:gridAfter w:val="1"/>
          <w:wAfter w:w="9" w:type="dxa"/>
          <w:trHeight w:val="340"/>
          <w:jc w:val="center"/>
        </w:trPr>
        <w:tc>
          <w:tcPr>
            <w:tcW w:w="426" w:type="dxa"/>
            <w:vAlign w:val="center"/>
          </w:tcPr>
          <w:p w14:paraId="46167037"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szCs w:val="21"/>
              </w:rPr>
              <w:t>8</w:t>
            </w:r>
          </w:p>
        </w:tc>
        <w:tc>
          <w:tcPr>
            <w:tcW w:w="1144" w:type="dxa"/>
            <w:tcBorders>
              <w:top w:val="nil"/>
              <w:left w:val="single" w:sz="4" w:space="0" w:color="auto"/>
              <w:bottom w:val="single" w:sz="4" w:space="0" w:color="auto"/>
              <w:right w:val="single" w:sz="4" w:space="0" w:color="auto"/>
            </w:tcBorders>
            <w:shd w:val="clear" w:color="auto" w:fill="auto"/>
            <w:vAlign w:val="center"/>
          </w:tcPr>
          <w:p w14:paraId="65DBD7DA"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0.75</w:t>
            </w:r>
          </w:p>
        </w:tc>
        <w:tc>
          <w:tcPr>
            <w:tcW w:w="1169" w:type="dxa"/>
            <w:tcBorders>
              <w:top w:val="nil"/>
              <w:left w:val="nil"/>
              <w:bottom w:val="single" w:sz="4" w:space="0" w:color="auto"/>
              <w:right w:val="single" w:sz="4" w:space="0" w:color="auto"/>
            </w:tcBorders>
            <w:shd w:val="clear" w:color="auto" w:fill="auto"/>
            <w:vAlign w:val="center"/>
          </w:tcPr>
          <w:p w14:paraId="3DF4B949"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2.88</w:t>
            </w:r>
          </w:p>
        </w:tc>
        <w:tc>
          <w:tcPr>
            <w:tcW w:w="1132" w:type="dxa"/>
            <w:tcBorders>
              <w:top w:val="nil"/>
              <w:left w:val="nil"/>
              <w:bottom w:val="single" w:sz="4" w:space="0" w:color="auto"/>
              <w:right w:val="single" w:sz="4" w:space="0" w:color="auto"/>
            </w:tcBorders>
            <w:shd w:val="clear" w:color="auto" w:fill="auto"/>
            <w:vAlign w:val="center"/>
          </w:tcPr>
          <w:p w14:paraId="7074FF5B"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6.48</w:t>
            </w:r>
          </w:p>
        </w:tc>
        <w:tc>
          <w:tcPr>
            <w:tcW w:w="1224" w:type="dxa"/>
            <w:tcBorders>
              <w:top w:val="nil"/>
              <w:left w:val="nil"/>
              <w:bottom w:val="single" w:sz="4" w:space="0" w:color="auto"/>
              <w:right w:val="single" w:sz="4" w:space="0" w:color="auto"/>
            </w:tcBorders>
            <w:shd w:val="clear" w:color="auto" w:fill="auto"/>
            <w:vAlign w:val="center"/>
          </w:tcPr>
          <w:p w14:paraId="53753E18"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13.34</w:t>
            </w:r>
          </w:p>
        </w:tc>
        <w:tc>
          <w:tcPr>
            <w:tcW w:w="1145" w:type="dxa"/>
            <w:tcBorders>
              <w:top w:val="nil"/>
              <w:left w:val="nil"/>
              <w:bottom w:val="single" w:sz="4" w:space="0" w:color="auto"/>
              <w:right w:val="single" w:sz="4" w:space="0" w:color="auto"/>
            </w:tcBorders>
            <w:shd w:val="clear" w:color="auto" w:fill="auto"/>
            <w:vAlign w:val="center"/>
          </w:tcPr>
          <w:p w14:paraId="53DBF842"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17.21</w:t>
            </w:r>
          </w:p>
        </w:tc>
        <w:tc>
          <w:tcPr>
            <w:tcW w:w="962" w:type="dxa"/>
            <w:tcBorders>
              <w:top w:val="nil"/>
              <w:left w:val="nil"/>
              <w:bottom w:val="single" w:sz="4" w:space="0" w:color="auto"/>
              <w:right w:val="single" w:sz="4" w:space="0" w:color="auto"/>
            </w:tcBorders>
            <w:vAlign w:val="center"/>
          </w:tcPr>
          <w:p w14:paraId="38CFD824"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34.09</w:t>
            </w:r>
          </w:p>
        </w:tc>
        <w:tc>
          <w:tcPr>
            <w:tcW w:w="1053" w:type="dxa"/>
            <w:tcBorders>
              <w:top w:val="nil"/>
              <w:left w:val="nil"/>
              <w:bottom w:val="single" w:sz="4" w:space="0" w:color="auto"/>
              <w:right w:val="single" w:sz="4" w:space="0" w:color="auto"/>
            </w:tcBorders>
            <w:vAlign w:val="center"/>
          </w:tcPr>
          <w:p w14:paraId="18A3A097" w14:textId="77777777" w:rsidR="002A0DE8" w:rsidRPr="005D22E6" w:rsidRDefault="003B5264">
            <w:pPr>
              <w:jc w:val="center"/>
              <w:rPr>
                <w:rFonts w:ascii="宋体" w:eastAsia="宋体" w:hAnsi="宋体" w:cs="Times New Roman"/>
                <w:szCs w:val="21"/>
              </w:rPr>
            </w:pPr>
            <w:r w:rsidRPr="005D22E6">
              <w:rPr>
                <w:rFonts w:ascii="宋体" w:eastAsia="宋体" w:hAnsi="宋体" w:cs="Times New Roman" w:hint="eastAsia"/>
                <w:szCs w:val="21"/>
              </w:rPr>
              <w:t>40.73</w:t>
            </w:r>
          </w:p>
        </w:tc>
      </w:tr>
    </w:tbl>
    <w:p w14:paraId="3EC866F8" w14:textId="77777777" w:rsidR="002A0DE8" w:rsidRPr="005D22E6" w:rsidRDefault="003B5264" w:rsidP="00F34655">
      <w:pPr>
        <w:spacing w:beforeLines="100" w:before="312" w:line="360" w:lineRule="auto"/>
        <w:ind w:firstLineChars="200" w:firstLine="480"/>
        <w:rPr>
          <w:rFonts w:ascii="宋体" w:eastAsia="宋体" w:hAnsi="宋体" w:cs="Times New Roman"/>
          <w:kern w:val="0"/>
          <w:sz w:val="24"/>
          <w:szCs w:val="24"/>
        </w:rPr>
      </w:pPr>
      <w:r w:rsidRPr="005D22E6">
        <w:rPr>
          <w:rFonts w:ascii="宋体" w:eastAsia="宋体" w:hAnsi="宋体" w:cs="Times New Roman" w:hint="eastAsia"/>
          <w:kern w:val="0"/>
          <w:sz w:val="24"/>
          <w:szCs w:val="24"/>
        </w:rPr>
        <w:t>由表</w:t>
      </w:r>
      <w:r w:rsidRPr="005D22E6">
        <w:rPr>
          <w:rFonts w:ascii="宋体" w:eastAsia="宋体" w:hAnsi="宋体" w:cs="Times New Roman"/>
          <w:kern w:val="0"/>
          <w:sz w:val="24"/>
          <w:szCs w:val="24"/>
        </w:rPr>
        <w:t>2至</w:t>
      </w:r>
      <w:r w:rsidRPr="005D22E6">
        <w:rPr>
          <w:rFonts w:ascii="宋体" w:eastAsia="宋体" w:hAnsi="宋体" w:cs="Times New Roman" w:hint="eastAsia"/>
          <w:kern w:val="0"/>
          <w:sz w:val="24"/>
          <w:szCs w:val="24"/>
        </w:rPr>
        <w:t>表3可以看出，所得各个含量的铁测试结果准确，精密度良好，证明该方法适用于金精矿中铁含量的测定。本文件的</w:t>
      </w:r>
      <w:r w:rsidRPr="005D22E6">
        <w:rPr>
          <w:rFonts w:ascii="宋体" w:eastAsia="宋体" w:hAnsi="宋体" w:cs="Times New Roman" w:hint="eastAsia"/>
          <w:sz w:val="24"/>
          <w:szCs w:val="24"/>
        </w:rPr>
        <w:t>修订</w:t>
      </w:r>
      <w:r w:rsidRPr="005D22E6">
        <w:rPr>
          <w:rFonts w:ascii="宋体" w:eastAsia="宋体" w:hAnsi="宋体" w:cs="Times New Roman" w:hint="eastAsia"/>
          <w:kern w:val="0"/>
          <w:sz w:val="24"/>
          <w:szCs w:val="24"/>
        </w:rPr>
        <w:t>，充分反映了国内外行业的水平。</w:t>
      </w:r>
    </w:p>
    <w:p w14:paraId="292309C4" w14:textId="77777777" w:rsidR="002A0DE8" w:rsidRPr="005D22E6" w:rsidRDefault="003B5264" w:rsidP="00F34655">
      <w:pPr>
        <w:spacing w:beforeLines="50" w:before="156" w:afterLines="50" w:after="156" w:line="360" w:lineRule="auto"/>
        <w:outlineLvl w:val="2"/>
        <w:rPr>
          <w:rFonts w:ascii="宋体" w:hAnsi="宋体"/>
          <w:b/>
          <w:bCs/>
          <w:sz w:val="24"/>
        </w:rPr>
      </w:pPr>
      <w:r w:rsidRPr="005D22E6">
        <w:rPr>
          <w:rFonts w:ascii="宋体" w:hAnsi="宋体"/>
          <w:b/>
          <w:bCs/>
          <w:sz w:val="24"/>
        </w:rPr>
        <w:t>3</w:t>
      </w:r>
      <w:r w:rsidRPr="005D22E6">
        <w:rPr>
          <w:rFonts w:ascii="宋体" w:hAnsi="宋体" w:hint="eastAsia"/>
          <w:b/>
          <w:bCs/>
          <w:sz w:val="24"/>
        </w:rPr>
        <w:t>.</w:t>
      </w:r>
      <w:r w:rsidRPr="005D22E6">
        <w:rPr>
          <w:rFonts w:ascii="宋体" w:hAnsi="宋体"/>
          <w:b/>
          <w:bCs/>
          <w:sz w:val="24"/>
        </w:rPr>
        <w:t>1.</w:t>
      </w:r>
      <w:r w:rsidRPr="005D22E6">
        <w:rPr>
          <w:rFonts w:ascii="宋体" w:hAnsi="宋体" w:hint="eastAsia"/>
          <w:b/>
          <w:bCs/>
          <w:sz w:val="24"/>
        </w:rPr>
        <w:t xml:space="preserve">3 </w:t>
      </w:r>
      <w:r w:rsidRPr="005D22E6">
        <w:rPr>
          <w:rFonts w:ascii="宋体" w:hAnsi="宋体"/>
          <w:b/>
          <w:bCs/>
          <w:sz w:val="24"/>
        </w:rPr>
        <w:t xml:space="preserve"> </w:t>
      </w:r>
      <w:r w:rsidRPr="005D22E6">
        <w:rPr>
          <w:rFonts w:ascii="宋体" w:hAnsi="宋体" w:hint="eastAsia"/>
          <w:b/>
          <w:bCs/>
          <w:sz w:val="24"/>
        </w:rPr>
        <w:t>重复性限和再现性限的确定</w:t>
      </w:r>
    </w:p>
    <w:p w14:paraId="403A7D98" w14:textId="77777777" w:rsidR="002A0DE8" w:rsidRPr="005D22E6" w:rsidRDefault="003B5264">
      <w:pPr>
        <w:spacing w:line="360" w:lineRule="auto"/>
        <w:ind w:firstLineChars="200" w:firstLine="480"/>
        <w:rPr>
          <w:rFonts w:ascii="宋体" w:eastAsia="宋体" w:hAnsi="宋体" w:cs="Times New Roman"/>
          <w:kern w:val="0"/>
          <w:sz w:val="24"/>
          <w:szCs w:val="24"/>
        </w:rPr>
      </w:pPr>
      <w:r w:rsidRPr="005D22E6">
        <w:rPr>
          <w:rFonts w:ascii="宋体" w:eastAsia="宋体" w:hAnsi="宋体" w:cs="Times New Roman" w:hint="eastAsia"/>
          <w:kern w:val="0"/>
          <w:sz w:val="24"/>
          <w:szCs w:val="24"/>
        </w:rPr>
        <w:t>按照GB</w:t>
      </w:r>
      <w:r w:rsidRPr="005D22E6">
        <w:rPr>
          <w:rFonts w:ascii="宋体" w:eastAsia="宋体" w:hAnsi="宋体" w:cs="Times New Roman"/>
          <w:kern w:val="0"/>
          <w:sz w:val="24"/>
          <w:szCs w:val="24"/>
        </w:rPr>
        <w:t>/</w:t>
      </w:r>
      <w:r w:rsidRPr="005D22E6">
        <w:rPr>
          <w:rFonts w:ascii="宋体" w:eastAsia="宋体" w:hAnsi="宋体" w:cs="Times New Roman" w:hint="eastAsia"/>
          <w:kern w:val="0"/>
          <w:sz w:val="24"/>
          <w:szCs w:val="24"/>
        </w:rPr>
        <w:t>T 6379.2—2004《测量方法与结果的准确度（正确度与精密度）  第2部分：确定标准测量方法重复性与再现性的基本方法》，对方法精密度数据进行统计和取舍，参考了同类、同范围的标准及专家意见，计算出本方法的重复性限和再现性限，结果见表4至表5。</w:t>
      </w:r>
    </w:p>
    <w:p w14:paraId="1EF0FE72" w14:textId="77777777" w:rsidR="002A0DE8" w:rsidRPr="005D22E6" w:rsidRDefault="003B5264" w:rsidP="00F34655">
      <w:pPr>
        <w:spacing w:beforeLines="50" w:before="156" w:afterLines="50" w:after="156" w:line="360" w:lineRule="auto"/>
        <w:jc w:val="center"/>
        <w:rPr>
          <w:rFonts w:ascii="黑体" w:eastAsia="黑体" w:hAnsi="黑体" w:cs="宋体"/>
          <w:b/>
          <w:sz w:val="24"/>
          <w:szCs w:val="24"/>
        </w:rPr>
      </w:pPr>
      <w:r w:rsidRPr="005D22E6">
        <w:rPr>
          <w:rFonts w:ascii="黑体" w:eastAsia="黑体" w:hAnsi="黑体" w:cs="宋体" w:hint="eastAsia"/>
          <w:b/>
          <w:sz w:val="24"/>
          <w:szCs w:val="24"/>
        </w:rPr>
        <w:t>表4  重复性限</w:t>
      </w:r>
    </w:p>
    <w:tbl>
      <w:tblPr>
        <w:tblW w:w="8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1168"/>
        <w:gridCol w:w="1168"/>
        <w:gridCol w:w="1168"/>
        <w:gridCol w:w="1168"/>
        <w:gridCol w:w="891"/>
        <w:gridCol w:w="891"/>
        <w:gridCol w:w="891"/>
      </w:tblGrid>
      <w:tr w:rsidR="002A0DE8" w:rsidRPr="005D22E6" w14:paraId="02995851" w14:textId="77777777" w:rsidTr="002D3237">
        <w:trPr>
          <w:trHeight w:val="290"/>
          <w:jc w:val="center"/>
        </w:trPr>
        <w:tc>
          <w:tcPr>
            <w:tcW w:w="921" w:type="dxa"/>
            <w:vAlign w:val="center"/>
          </w:tcPr>
          <w:p w14:paraId="1E5E272B" w14:textId="77777777" w:rsidR="002A0DE8" w:rsidRPr="005D22E6" w:rsidRDefault="003B5264">
            <w:pPr>
              <w:jc w:val="center"/>
              <w:rPr>
                <w:rFonts w:ascii="宋体" w:eastAsia="宋体" w:hAnsi="宋体" w:cs="Times New Roman"/>
                <w:sz w:val="18"/>
                <w:szCs w:val="18"/>
              </w:rPr>
            </w:pPr>
            <w:bookmarkStart w:id="7" w:name="OLE_LINK2" w:colFirst="1" w:colLast="5"/>
            <w:r w:rsidRPr="005D22E6">
              <w:rPr>
                <w:rFonts w:ascii="Palatino Linotype" w:eastAsia="宋体" w:hAnsi="Palatino Linotype" w:cs="Times New Roman" w:hint="eastAsia"/>
                <w:i/>
                <w:sz w:val="18"/>
                <w:szCs w:val="18"/>
              </w:rPr>
              <w:t>ω</w:t>
            </w:r>
            <w:r w:rsidRPr="005D22E6">
              <w:rPr>
                <w:rFonts w:ascii="宋体" w:eastAsia="宋体" w:hAnsi="宋体" w:cs="Times New Roman" w:hint="eastAsia"/>
                <w:sz w:val="18"/>
                <w:szCs w:val="18"/>
                <w:vertAlign w:val="subscript"/>
              </w:rPr>
              <w:t>S</w:t>
            </w:r>
            <w:r w:rsidRPr="005D22E6">
              <w:rPr>
                <w:rFonts w:ascii="宋体" w:eastAsia="宋体" w:hAnsi="宋体" w:cs="Times New Roman"/>
                <w:sz w:val="18"/>
                <w:szCs w:val="18"/>
              </w:rPr>
              <w:t>/</w:t>
            </w:r>
            <w:r w:rsidRPr="005D22E6">
              <w:rPr>
                <w:rFonts w:ascii="Times New Roman" w:eastAsia="宋体" w:hAnsi="Times New Roman" w:cs="Times New Roman"/>
                <w:sz w:val="18"/>
                <w:szCs w:val="18"/>
              </w:rPr>
              <w:t>％</w:t>
            </w:r>
          </w:p>
        </w:tc>
        <w:tc>
          <w:tcPr>
            <w:tcW w:w="1168" w:type="dxa"/>
            <w:vAlign w:val="center"/>
          </w:tcPr>
          <w:p w14:paraId="1D11689A"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0.74</w:t>
            </w:r>
          </w:p>
        </w:tc>
        <w:tc>
          <w:tcPr>
            <w:tcW w:w="1168" w:type="dxa"/>
            <w:vAlign w:val="center"/>
          </w:tcPr>
          <w:p w14:paraId="3FE69677"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2.81</w:t>
            </w:r>
          </w:p>
        </w:tc>
        <w:tc>
          <w:tcPr>
            <w:tcW w:w="1168" w:type="dxa"/>
            <w:vAlign w:val="center"/>
          </w:tcPr>
          <w:p w14:paraId="0C2727C1"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6.35</w:t>
            </w:r>
          </w:p>
        </w:tc>
        <w:tc>
          <w:tcPr>
            <w:tcW w:w="1168" w:type="dxa"/>
            <w:vAlign w:val="center"/>
          </w:tcPr>
          <w:p w14:paraId="552CC664"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13.35</w:t>
            </w:r>
          </w:p>
        </w:tc>
        <w:tc>
          <w:tcPr>
            <w:tcW w:w="891" w:type="dxa"/>
            <w:vAlign w:val="center"/>
          </w:tcPr>
          <w:p w14:paraId="31C3DBC5"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sz w:val="18"/>
                <w:szCs w:val="18"/>
              </w:rPr>
              <w:t>17.17</w:t>
            </w:r>
          </w:p>
        </w:tc>
        <w:tc>
          <w:tcPr>
            <w:tcW w:w="891" w:type="dxa"/>
            <w:vAlign w:val="center"/>
          </w:tcPr>
          <w:p w14:paraId="41D2EE8E"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hint="eastAsia"/>
                <w:sz w:val="18"/>
                <w:szCs w:val="18"/>
              </w:rPr>
              <w:t>33.91</w:t>
            </w:r>
          </w:p>
        </w:tc>
        <w:tc>
          <w:tcPr>
            <w:tcW w:w="891" w:type="dxa"/>
            <w:vAlign w:val="center"/>
          </w:tcPr>
          <w:p w14:paraId="54169D32"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hint="eastAsia"/>
                <w:sz w:val="18"/>
                <w:szCs w:val="18"/>
              </w:rPr>
              <w:t>40.59</w:t>
            </w:r>
          </w:p>
        </w:tc>
      </w:tr>
      <w:tr w:rsidR="00036A3B" w:rsidRPr="005D22E6" w14:paraId="03B2F262" w14:textId="77777777" w:rsidTr="002D3237">
        <w:trPr>
          <w:trHeight w:val="290"/>
          <w:jc w:val="center"/>
        </w:trPr>
        <w:tc>
          <w:tcPr>
            <w:tcW w:w="921" w:type="dxa"/>
            <w:vAlign w:val="center"/>
          </w:tcPr>
          <w:p w14:paraId="4FDDC409" w14:textId="77777777" w:rsidR="00036A3B" w:rsidRPr="005D22E6" w:rsidRDefault="00036A3B" w:rsidP="00036A3B">
            <w:pPr>
              <w:jc w:val="center"/>
              <w:rPr>
                <w:rFonts w:ascii="宋体" w:eastAsia="宋体" w:hAnsi="宋体" w:cs="Times New Roman"/>
                <w:i/>
                <w:iCs/>
                <w:sz w:val="18"/>
                <w:szCs w:val="18"/>
              </w:rPr>
            </w:pPr>
            <w:r w:rsidRPr="005D22E6">
              <w:rPr>
                <w:rFonts w:ascii="宋体" w:eastAsia="宋体" w:hAnsi="宋体" w:cs="Times New Roman"/>
                <w:i/>
                <w:iCs/>
                <w:sz w:val="18"/>
                <w:szCs w:val="18"/>
              </w:rPr>
              <w:t>r</w:t>
            </w:r>
            <w:r w:rsidRPr="005D22E6">
              <w:rPr>
                <w:rFonts w:ascii="宋体" w:eastAsia="宋体" w:hAnsi="宋体" w:cs="Times New Roman"/>
                <w:sz w:val="18"/>
                <w:szCs w:val="18"/>
              </w:rPr>
              <w:t>/</w:t>
            </w:r>
            <w:r w:rsidRPr="005D22E6">
              <w:rPr>
                <w:rFonts w:ascii="Times New Roman" w:eastAsia="宋体" w:hAnsi="Times New Roman" w:cs="Times New Roman"/>
                <w:sz w:val="18"/>
                <w:szCs w:val="18"/>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9B67859" w14:textId="33FBEFD6"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833A81A" w14:textId="632CAB66"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0C4C902" w14:textId="43B84CE9"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8602A38" w14:textId="106B4CDB"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0.22</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C406DAC" w14:textId="7F702899"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sz w:val="18"/>
                <w:szCs w:val="18"/>
              </w:rPr>
              <w:t>0.24</w:t>
            </w:r>
          </w:p>
        </w:tc>
        <w:tc>
          <w:tcPr>
            <w:tcW w:w="891" w:type="dxa"/>
            <w:tcBorders>
              <w:top w:val="single" w:sz="4" w:space="0" w:color="auto"/>
              <w:left w:val="nil"/>
              <w:bottom w:val="single" w:sz="4" w:space="0" w:color="auto"/>
              <w:right w:val="single" w:sz="4" w:space="0" w:color="auto"/>
            </w:tcBorders>
            <w:shd w:val="clear" w:color="auto" w:fill="auto"/>
            <w:vAlign w:val="center"/>
          </w:tcPr>
          <w:p w14:paraId="7EBC5CB0" w14:textId="0CD27AE2"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hint="eastAsia"/>
                <w:sz w:val="18"/>
                <w:szCs w:val="18"/>
              </w:rPr>
              <w:t>0.31</w:t>
            </w:r>
          </w:p>
        </w:tc>
        <w:tc>
          <w:tcPr>
            <w:tcW w:w="891" w:type="dxa"/>
            <w:tcBorders>
              <w:top w:val="single" w:sz="4" w:space="0" w:color="auto"/>
              <w:left w:val="nil"/>
              <w:bottom w:val="single" w:sz="4" w:space="0" w:color="auto"/>
              <w:right w:val="single" w:sz="4" w:space="0" w:color="auto"/>
            </w:tcBorders>
            <w:shd w:val="clear" w:color="auto" w:fill="auto"/>
            <w:vAlign w:val="center"/>
          </w:tcPr>
          <w:p w14:paraId="1B3CB9DC" w14:textId="01C0E8FA"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hint="eastAsia"/>
                <w:sz w:val="18"/>
                <w:szCs w:val="18"/>
              </w:rPr>
              <w:t>0.33</w:t>
            </w:r>
          </w:p>
        </w:tc>
      </w:tr>
    </w:tbl>
    <w:bookmarkEnd w:id="7"/>
    <w:p w14:paraId="03095BB1" w14:textId="77777777" w:rsidR="002A0DE8" w:rsidRPr="005D22E6" w:rsidRDefault="003B5264" w:rsidP="00F34655">
      <w:pPr>
        <w:spacing w:beforeLines="50" w:before="156" w:afterLines="50" w:after="156" w:line="360" w:lineRule="auto"/>
        <w:jc w:val="center"/>
        <w:rPr>
          <w:rFonts w:ascii="黑体" w:eastAsia="黑体" w:hAnsi="黑体" w:cs="宋体"/>
          <w:b/>
          <w:sz w:val="24"/>
          <w:szCs w:val="24"/>
        </w:rPr>
      </w:pPr>
      <w:r w:rsidRPr="005D22E6">
        <w:rPr>
          <w:rFonts w:ascii="黑体" w:eastAsia="黑体" w:hAnsi="黑体" w:cs="宋体" w:hint="eastAsia"/>
          <w:b/>
          <w:sz w:val="24"/>
          <w:szCs w:val="24"/>
        </w:rPr>
        <w:t>表5  再现性限</w:t>
      </w:r>
    </w:p>
    <w:tbl>
      <w:tblPr>
        <w:tblW w:w="8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68"/>
        <w:gridCol w:w="1168"/>
        <w:gridCol w:w="1168"/>
        <w:gridCol w:w="1168"/>
        <w:gridCol w:w="891"/>
        <w:gridCol w:w="891"/>
        <w:gridCol w:w="891"/>
      </w:tblGrid>
      <w:tr w:rsidR="002A0DE8" w:rsidRPr="005D22E6" w14:paraId="43FD2DC9" w14:textId="77777777" w:rsidTr="002D3237">
        <w:trPr>
          <w:trHeight w:val="262"/>
          <w:jc w:val="center"/>
        </w:trPr>
        <w:tc>
          <w:tcPr>
            <w:tcW w:w="959" w:type="dxa"/>
            <w:vAlign w:val="center"/>
          </w:tcPr>
          <w:p w14:paraId="190F50B9" w14:textId="77777777" w:rsidR="002A0DE8" w:rsidRPr="005D22E6" w:rsidRDefault="003B5264">
            <w:pPr>
              <w:jc w:val="center"/>
              <w:rPr>
                <w:rFonts w:ascii="宋体" w:eastAsia="宋体" w:hAnsi="宋体" w:cs="宋体"/>
                <w:sz w:val="18"/>
                <w:szCs w:val="18"/>
              </w:rPr>
            </w:pPr>
            <w:r w:rsidRPr="005D22E6">
              <w:rPr>
                <w:rFonts w:ascii="Palatino Linotype" w:eastAsia="宋体" w:hAnsi="Palatino Linotype" w:cs="Times New Roman" w:hint="eastAsia"/>
                <w:i/>
                <w:sz w:val="18"/>
                <w:szCs w:val="18"/>
              </w:rPr>
              <w:t>ω</w:t>
            </w:r>
            <w:r w:rsidRPr="005D22E6">
              <w:rPr>
                <w:rFonts w:ascii="宋体" w:eastAsia="宋体" w:hAnsi="宋体" w:cs="Times New Roman" w:hint="eastAsia"/>
                <w:sz w:val="18"/>
                <w:szCs w:val="18"/>
                <w:vertAlign w:val="subscript"/>
              </w:rPr>
              <w:t>S</w:t>
            </w:r>
            <w:r w:rsidRPr="005D22E6">
              <w:rPr>
                <w:rFonts w:ascii="宋体" w:eastAsia="宋体" w:hAnsi="宋体" w:cs="Times New Roman"/>
                <w:sz w:val="18"/>
                <w:szCs w:val="18"/>
              </w:rPr>
              <w:t>/</w:t>
            </w:r>
            <w:r w:rsidRPr="005D22E6">
              <w:rPr>
                <w:rFonts w:ascii="Times New Roman" w:eastAsia="宋体" w:hAnsi="Times New Roman" w:cs="Times New Roman"/>
                <w:sz w:val="18"/>
                <w:szCs w:val="18"/>
              </w:rPr>
              <w:t>％</w:t>
            </w:r>
          </w:p>
        </w:tc>
        <w:tc>
          <w:tcPr>
            <w:tcW w:w="1168" w:type="dxa"/>
            <w:vAlign w:val="center"/>
          </w:tcPr>
          <w:p w14:paraId="7B987E41"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0.74</w:t>
            </w:r>
          </w:p>
        </w:tc>
        <w:tc>
          <w:tcPr>
            <w:tcW w:w="1168" w:type="dxa"/>
            <w:vAlign w:val="center"/>
          </w:tcPr>
          <w:p w14:paraId="24308B89"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2.81</w:t>
            </w:r>
          </w:p>
        </w:tc>
        <w:tc>
          <w:tcPr>
            <w:tcW w:w="1168" w:type="dxa"/>
            <w:vAlign w:val="center"/>
          </w:tcPr>
          <w:p w14:paraId="7565CD6D"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6.35</w:t>
            </w:r>
          </w:p>
        </w:tc>
        <w:tc>
          <w:tcPr>
            <w:tcW w:w="1168" w:type="dxa"/>
            <w:vAlign w:val="center"/>
          </w:tcPr>
          <w:p w14:paraId="5D86B373" w14:textId="77777777" w:rsidR="002A0DE8" w:rsidRPr="005D22E6" w:rsidRDefault="003B5264" w:rsidP="00F81A93">
            <w:pPr>
              <w:jc w:val="center"/>
              <w:rPr>
                <w:rFonts w:ascii="宋体" w:eastAsia="宋体" w:hAnsi="宋体" w:cs="Times New Roman"/>
                <w:sz w:val="18"/>
                <w:szCs w:val="18"/>
              </w:rPr>
            </w:pPr>
            <w:r w:rsidRPr="005D22E6">
              <w:rPr>
                <w:rFonts w:ascii="宋体" w:eastAsia="宋体" w:hAnsi="宋体" w:cs="Times New Roman"/>
                <w:sz w:val="18"/>
                <w:szCs w:val="18"/>
              </w:rPr>
              <w:t>13.35</w:t>
            </w:r>
          </w:p>
        </w:tc>
        <w:tc>
          <w:tcPr>
            <w:tcW w:w="891" w:type="dxa"/>
            <w:vAlign w:val="center"/>
          </w:tcPr>
          <w:p w14:paraId="139F2F80"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sz w:val="18"/>
                <w:szCs w:val="18"/>
              </w:rPr>
              <w:t>17.17</w:t>
            </w:r>
          </w:p>
        </w:tc>
        <w:tc>
          <w:tcPr>
            <w:tcW w:w="891" w:type="dxa"/>
            <w:vAlign w:val="center"/>
          </w:tcPr>
          <w:p w14:paraId="5CEE0A7B"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hint="eastAsia"/>
                <w:sz w:val="18"/>
                <w:szCs w:val="18"/>
              </w:rPr>
              <w:t>33.91</w:t>
            </w:r>
          </w:p>
        </w:tc>
        <w:tc>
          <w:tcPr>
            <w:tcW w:w="891" w:type="dxa"/>
            <w:vAlign w:val="center"/>
          </w:tcPr>
          <w:p w14:paraId="3314E760" w14:textId="77777777" w:rsidR="002A0DE8" w:rsidRPr="005D22E6" w:rsidRDefault="003B5264" w:rsidP="00F81A93">
            <w:pPr>
              <w:widowControl/>
              <w:jc w:val="center"/>
              <w:rPr>
                <w:rFonts w:ascii="宋体" w:eastAsia="宋体" w:hAnsi="宋体" w:cs="Times New Roman"/>
                <w:sz w:val="18"/>
                <w:szCs w:val="18"/>
              </w:rPr>
            </w:pPr>
            <w:r w:rsidRPr="005D22E6">
              <w:rPr>
                <w:rFonts w:ascii="宋体" w:eastAsia="宋体" w:hAnsi="宋体" w:cs="Times New Roman" w:hint="eastAsia"/>
                <w:sz w:val="18"/>
                <w:szCs w:val="18"/>
              </w:rPr>
              <w:t>40.59</w:t>
            </w:r>
          </w:p>
        </w:tc>
      </w:tr>
      <w:tr w:rsidR="00036A3B" w:rsidRPr="005D22E6" w14:paraId="45F8138A" w14:textId="77777777" w:rsidTr="002D3237">
        <w:trPr>
          <w:trHeight w:val="262"/>
          <w:jc w:val="center"/>
        </w:trPr>
        <w:tc>
          <w:tcPr>
            <w:tcW w:w="959" w:type="dxa"/>
            <w:vAlign w:val="center"/>
          </w:tcPr>
          <w:p w14:paraId="62D23EAD" w14:textId="77777777" w:rsidR="00036A3B" w:rsidRPr="005D22E6" w:rsidRDefault="00036A3B" w:rsidP="00036A3B">
            <w:pPr>
              <w:jc w:val="center"/>
              <w:rPr>
                <w:rFonts w:ascii="宋体" w:eastAsia="宋体" w:hAnsi="宋体" w:cs="宋体"/>
                <w:i/>
                <w:iCs/>
                <w:sz w:val="18"/>
                <w:szCs w:val="18"/>
              </w:rPr>
            </w:pPr>
            <w:r w:rsidRPr="005D22E6">
              <w:rPr>
                <w:rFonts w:ascii="宋体" w:eastAsia="宋体" w:hAnsi="宋体" w:cs="Times New Roman" w:hint="eastAsia"/>
                <w:i/>
                <w:iCs/>
                <w:sz w:val="18"/>
                <w:szCs w:val="18"/>
              </w:rPr>
              <w:lastRenderedPageBreak/>
              <w:t>R</w:t>
            </w:r>
            <w:r w:rsidRPr="005D22E6">
              <w:rPr>
                <w:rFonts w:ascii="宋体" w:eastAsia="宋体" w:hAnsi="宋体" w:cs="Times New Roman" w:hint="eastAsia"/>
                <w:sz w:val="18"/>
                <w:szCs w:val="18"/>
              </w:rPr>
              <w:t>/</w:t>
            </w:r>
            <w:r w:rsidRPr="005D22E6">
              <w:rPr>
                <w:rFonts w:ascii="Times New Roman" w:eastAsia="宋体" w:hAnsi="Times New Roman" w:cs="Times New Roman"/>
                <w:sz w:val="18"/>
                <w:szCs w:val="18"/>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6BB57B4" w14:textId="2EFD2F8C"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C205A99" w14:textId="4215DB30"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04080FE" w14:textId="5B86854C"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5A148D9" w14:textId="52B48BAD" w:rsidR="00036A3B" w:rsidRPr="005D22E6" w:rsidRDefault="00036A3B" w:rsidP="00F81A93">
            <w:pPr>
              <w:jc w:val="center"/>
              <w:rPr>
                <w:rFonts w:ascii="宋体" w:eastAsia="宋体" w:hAnsi="宋体" w:cs="Times New Roman"/>
                <w:sz w:val="18"/>
                <w:szCs w:val="18"/>
              </w:rPr>
            </w:pPr>
            <w:r w:rsidRPr="005D22E6">
              <w:rPr>
                <w:rFonts w:ascii="宋体" w:eastAsia="宋体" w:hAnsi="宋体"/>
                <w:sz w:val="18"/>
                <w:szCs w:val="18"/>
              </w:rPr>
              <w:t>0.28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77465A0" w14:textId="735F483B"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sz w:val="18"/>
                <w:szCs w:val="18"/>
              </w:rPr>
              <w:t>0.31</w:t>
            </w:r>
          </w:p>
        </w:tc>
        <w:tc>
          <w:tcPr>
            <w:tcW w:w="891" w:type="dxa"/>
            <w:tcBorders>
              <w:top w:val="single" w:sz="4" w:space="0" w:color="auto"/>
              <w:left w:val="nil"/>
              <w:bottom w:val="single" w:sz="4" w:space="0" w:color="auto"/>
              <w:right w:val="single" w:sz="4" w:space="0" w:color="auto"/>
            </w:tcBorders>
            <w:shd w:val="clear" w:color="auto" w:fill="auto"/>
            <w:vAlign w:val="center"/>
          </w:tcPr>
          <w:p w14:paraId="776B9F30" w14:textId="2962FE37"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hint="eastAsia"/>
                <w:sz w:val="18"/>
                <w:szCs w:val="18"/>
              </w:rPr>
              <w:t>0.41</w:t>
            </w:r>
          </w:p>
        </w:tc>
        <w:tc>
          <w:tcPr>
            <w:tcW w:w="891" w:type="dxa"/>
            <w:tcBorders>
              <w:top w:val="single" w:sz="4" w:space="0" w:color="auto"/>
              <w:left w:val="nil"/>
              <w:bottom w:val="single" w:sz="4" w:space="0" w:color="auto"/>
              <w:right w:val="single" w:sz="4" w:space="0" w:color="auto"/>
            </w:tcBorders>
            <w:shd w:val="clear" w:color="auto" w:fill="auto"/>
            <w:vAlign w:val="center"/>
          </w:tcPr>
          <w:p w14:paraId="76C6DC23" w14:textId="55BF4458" w:rsidR="00036A3B" w:rsidRPr="005D22E6" w:rsidRDefault="00036A3B" w:rsidP="00F81A93">
            <w:pPr>
              <w:widowControl/>
              <w:jc w:val="center"/>
              <w:rPr>
                <w:rFonts w:ascii="宋体" w:eastAsia="宋体" w:hAnsi="宋体" w:cs="Times New Roman"/>
                <w:sz w:val="18"/>
                <w:szCs w:val="18"/>
              </w:rPr>
            </w:pPr>
            <w:r w:rsidRPr="005D22E6">
              <w:rPr>
                <w:rFonts w:ascii="宋体" w:eastAsia="宋体" w:hAnsi="宋体" w:hint="eastAsia"/>
                <w:sz w:val="18"/>
                <w:szCs w:val="18"/>
              </w:rPr>
              <w:t>0.45</w:t>
            </w:r>
          </w:p>
        </w:tc>
      </w:tr>
    </w:tbl>
    <w:p w14:paraId="59127377" w14:textId="77777777" w:rsidR="002A0DE8" w:rsidRPr="005D22E6" w:rsidRDefault="003B5264" w:rsidP="00F34655">
      <w:pPr>
        <w:spacing w:beforeLines="100" w:before="312" w:afterLines="50" w:after="156" w:line="360" w:lineRule="auto"/>
        <w:outlineLvl w:val="1"/>
        <w:rPr>
          <w:rFonts w:ascii="宋体" w:hAnsi="宋体"/>
          <w:b/>
          <w:bCs/>
          <w:sz w:val="24"/>
        </w:rPr>
      </w:pPr>
      <w:bookmarkStart w:id="8" w:name="_Hlk45292557"/>
      <w:r w:rsidRPr="005D22E6">
        <w:rPr>
          <w:rFonts w:ascii="宋体" w:hAnsi="宋体" w:hint="eastAsia"/>
          <w:b/>
          <w:bCs/>
          <w:sz w:val="24"/>
        </w:rPr>
        <w:t>3</w:t>
      </w:r>
      <w:r w:rsidRPr="005D22E6">
        <w:rPr>
          <w:rFonts w:ascii="宋体" w:hAnsi="宋体"/>
          <w:b/>
          <w:bCs/>
          <w:sz w:val="24"/>
        </w:rPr>
        <w:t xml:space="preserve">.2  </w:t>
      </w:r>
      <w:r w:rsidRPr="005D22E6">
        <w:rPr>
          <w:rFonts w:ascii="宋体" w:hAnsi="宋体" w:hint="eastAsia"/>
          <w:b/>
          <w:bCs/>
          <w:sz w:val="24"/>
        </w:rPr>
        <w:t>预期的经济效果</w:t>
      </w:r>
    </w:p>
    <w:p w14:paraId="33E4905F" w14:textId="77777777" w:rsidR="002A0DE8" w:rsidRPr="005D22E6" w:rsidRDefault="003B5264">
      <w:pPr>
        <w:spacing w:line="360" w:lineRule="auto"/>
        <w:ind w:firstLineChars="200" w:firstLine="480"/>
        <w:rPr>
          <w:rFonts w:ascii="Times New Roman" w:eastAsia="宋体" w:hAnsi="宋体" w:cs="Times New Roman"/>
          <w:kern w:val="0"/>
          <w:sz w:val="24"/>
          <w:szCs w:val="24"/>
        </w:rPr>
      </w:pPr>
      <w:bookmarkStart w:id="9" w:name="_Hlk45960562"/>
      <w:bookmarkEnd w:id="8"/>
      <w:r w:rsidRPr="005D22E6">
        <w:rPr>
          <w:rFonts w:ascii="Times New Roman" w:eastAsia="宋体" w:hAnsi="宋体" w:cs="Times New Roman"/>
          <w:kern w:val="0"/>
          <w:sz w:val="24"/>
          <w:szCs w:val="24"/>
        </w:rPr>
        <w:t>通过本次国家标准的修订，</w:t>
      </w:r>
      <w:r w:rsidRPr="005D22E6">
        <w:rPr>
          <w:rFonts w:ascii="Times New Roman" w:eastAsia="宋体" w:hAnsi="宋体" w:cs="Times New Roman"/>
          <w:sz w:val="24"/>
          <w:szCs w:val="24"/>
        </w:rPr>
        <w:t>满足</w:t>
      </w:r>
      <w:r w:rsidRPr="005D22E6">
        <w:rPr>
          <w:rFonts w:ascii="Times New Roman" w:eastAsia="宋体" w:hAnsi="宋体" w:cs="Times New Roman"/>
          <w:kern w:val="0"/>
          <w:sz w:val="24"/>
          <w:szCs w:val="24"/>
        </w:rPr>
        <w:t>企业对国家标准的需求，</w:t>
      </w:r>
      <w:r w:rsidRPr="005D22E6">
        <w:rPr>
          <w:rFonts w:ascii="Times New Roman" w:eastAsia="宋体" w:hAnsi="宋体" w:cs="Times New Roman" w:hint="eastAsia"/>
          <w:kern w:val="0"/>
          <w:sz w:val="24"/>
          <w:szCs w:val="24"/>
        </w:rPr>
        <w:t>有利于企业优化选矿工艺控制参数，精准控制选矿药剂消耗、减少铁元素在金精矿选冶富集过程的干扰、提高各有价元素（包括铁）的综合回收率，为</w:t>
      </w:r>
      <w:r w:rsidRPr="005D22E6">
        <w:rPr>
          <w:rFonts w:ascii="Times New Roman" w:eastAsia="宋体" w:hAnsi="宋体" w:cs="Times New Roman"/>
          <w:kern w:val="0"/>
          <w:sz w:val="24"/>
          <w:szCs w:val="24"/>
        </w:rPr>
        <w:t>整个黄金行业的</w:t>
      </w:r>
      <w:r w:rsidRPr="005D22E6">
        <w:rPr>
          <w:rFonts w:ascii="Times New Roman" w:eastAsia="宋体" w:hAnsi="宋体" w:cs="Times New Roman" w:hint="eastAsia"/>
          <w:kern w:val="0"/>
          <w:sz w:val="24"/>
          <w:szCs w:val="24"/>
        </w:rPr>
        <w:t>综合资源回收利用和可持续</w:t>
      </w:r>
      <w:r w:rsidRPr="005D22E6">
        <w:rPr>
          <w:rFonts w:ascii="Times New Roman" w:eastAsia="宋体" w:hAnsi="宋体" w:cs="Times New Roman"/>
          <w:kern w:val="0"/>
          <w:sz w:val="24"/>
          <w:szCs w:val="24"/>
        </w:rPr>
        <w:t>健康发展提供更强</w:t>
      </w:r>
      <w:r w:rsidRPr="005D22E6">
        <w:rPr>
          <w:rFonts w:ascii="Times New Roman" w:eastAsia="宋体" w:hAnsi="宋体" w:cs="Times New Roman" w:hint="eastAsia"/>
          <w:kern w:val="0"/>
          <w:sz w:val="24"/>
          <w:szCs w:val="24"/>
        </w:rPr>
        <w:t>有力</w:t>
      </w:r>
      <w:r w:rsidRPr="005D22E6">
        <w:rPr>
          <w:rFonts w:ascii="Times New Roman" w:eastAsia="宋体" w:hAnsi="宋体" w:cs="Times New Roman"/>
          <w:kern w:val="0"/>
          <w:sz w:val="24"/>
          <w:szCs w:val="24"/>
        </w:rPr>
        <w:t>的技术支撑。</w:t>
      </w:r>
    </w:p>
    <w:bookmarkEnd w:id="9"/>
    <w:p w14:paraId="628354D1" w14:textId="77777777" w:rsidR="002A0DE8" w:rsidRPr="005D22E6" w:rsidRDefault="003B5264" w:rsidP="00F34655">
      <w:pPr>
        <w:snapToGrid w:val="0"/>
        <w:spacing w:beforeLines="100" w:before="312" w:afterLines="100" w:after="312" w:line="360" w:lineRule="auto"/>
        <w:outlineLvl w:val="0"/>
        <w:rPr>
          <w:rFonts w:ascii="宋体" w:hAnsi="宋体"/>
          <w:b/>
          <w:bCs/>
          <w:sz w:val="24"/>
        </w:rPr>
      </w:pPr>
      <w:r w:rsidRPr="005D22E6">
        <w:rPr>
          <w:rFonts w:ascii="宋体" w:hAnsi="宋体" w:hint="eastAsia"/>
          <w:b/>
          <w:bCs/>
          <w:sz w:val="24"/>
        </w:rPr>
        <w:t>四、采用国际标准和国外先进标准的程度，以及与国际、国内同类标准水平的对比情况，或与测试的国外样品、样机的有关数据对比情况</w:t>
      </w:r>
    </w:p>
    <w:p w14:paraId="6359BAA1"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本文件在</w:t>
      </w:r>
      <w:r w:rsidRPr="005D22E6">
        <w:rPr>
          <w:rFonts w:ascii="宋体" w:eastAsia="宋体" w:hAnsi="宋体" w:cs="Times New Roman" w:hint="eastAsia"/>
          <w:sz w:val="24"/>
          <w:szCs w:val="24"/>
        </w:rPr>
        <w:t>修订</w:t>
      </w:r>
      <w:r w:rsidRPr="005D22E6">
        <w:rPr>
          <w:rFonts w:ascii="Times New Roman" w:eastAsia="宋体" w:hAnsi="宋体" w:cs="Times New Roman" w:hint="eastAsia"/>
          <w:kern w:val="0"/>
          <w:sz w:val="24"/>
          <w:szCs w:val="24"/>
        </w:rPr>
        <w:t>过程中未查到同类国际标准，本文件主要</w:t>
      </w:r>
      <w:bookmarkStart w:id="10" w:name="_Hlk19695640"/>
      <w:r w:rsidRPr="005D22E6">
        <w:rPr>
          <w:rFonts w:ascii="Times New Roman" w:eastAsia="宋体" w:hAnsi="宋体" w:cs="Times New Roman" w:hint="eastAsia"/>
          <w:kern w:val="0"/>
          <w:sz w:val="24"/>
          <w:szCs w:val="24"/>
        </w:rPr>
        <w:t>对照和</w:t>
      </w:r>
      <w:bookmarkEnd w:id="10"/>
      <w:r w:rsidRPr="005D22E6">
        <w:rPr>
          <w:rFonts w:ascii="Times New Roman" w:eastAsia="宋体" w:hAnsi="宋体" w:cs="Times New Roman" w:hint="eastAsia"/>
          <w:kern w:val="0"/>
          <w:sz w:val="24"/>
          <w:szCs w:val="24"/>
        </w:rPr>
        <w:t>参考了</w:t>
      </w:r>
      <w:r w:rsidRPr="005D22E6">
        <w:rPr>
          <w:rFonts w:ascii="Times New Roman" w:eastAsia="宋体" w:hAnsi="宋体" w:cs="Times New Roman" w:hint="eastAsia"/>
          <w:kern w:val="0"/>
          <w:sz w:val="24"/>
          <w:szCs w:val="24"/>
        </w:rPr>
        <w:t>G</w:t>
      </w:r>
      <w:r w:rsidRPr="005D22E6">
        <w:rPr>
          <w:rFonts w:ascii="Times New Roman" w:eastAsia="宋体" w:hAnsi="宋体" w:cs="Times New Roman"/>
          <w:kern w:val="0"/>
          <w:sz w:val="24"/>
          <w:szCs w:val="24"/>
        </w:rPr>
        <w:t>B/T</w:t>
      </w:r>
      <w:r w:rsidRPr="005D22E6">
        <w:rPr>
          <w:rFonts w:ascii="Times New Roman" w:eastAsia="宋体" w:hAnsi="宋体" w:cs="Times New Roman" w:hint="eastAsia"/>
          <w:kern w:val="0"/>
          <w:sz w:val="24"/>
          <w:szCs w:val="24"/>
        </w:rPr>
        <w:t xml:space="preserve"> </w:t>
      </w:r>
      <w:r w:rsidRPr="005D22E6">
        <w:rPr>
          <w:rFonts w:ascii="宋体" w:eastAsia="宋体" w:hAnsi="宋体" w:cs="Times New Roman" w:hint="eastAsia"/>
          <w:kern w:val="0"/>
          <w:sz w:val="24"/>
          <w:szCs w:val="24"/>
        </w:rPr>
        <w:t>7739.</w:t>
      </w:r>
      <w:bookmarkStart w:id="11" w:name="_Hlk19695646"/>
      <w:r w:rsidRPr="005D22E6">
        <w:rPr>
          <w:rFonts w:ascii="宋体" w:eastAsia="宋体" w:hAnsi="宋体" w:cs="Times New Roman" w:hint="eastAsia"/>
          <w:kern w:val="0"/>
          <w:sz w:val="24"/>
          <w:szCs w:val="24"/>
        </w:rPr>
        <w:t>7—2</w:t>
      </w:r>
      <w:r w:rsidRPr="005D22E6">
        <w:rPr>
          <w:rFonts w:ascii="宋体" w:eastAsia="宋体" w:hAnsi="宋体" w:cs="Times New Roman"/>
          <w:kern w:val="0"/>
          <w:sz w:val="24"/>
          <w:szCs w:val="24"/>
        </w:rPr>
        <w:t>007</w:t>
      </w:r>
      <w:r w:rsidRPr="005D22E6">
        <w:rPr>
          <w:rFonts w:ascii="Times New Roman" w:eastAsia="宋体" w:hAnsi="宋体" w:cs="Times New Roman" w:hint="eastAsia"/>
          <w:kern w:val="0"/>
          <w:sz w:val="24"/>
          <w:szCs w:val="24"/>
        </w:rPr>
        <w:t>的内容</w:t>
      </w:r>
      <w:bookmarkEnd w:id="11"/>
      <w:r w:rsidRPr="005D22E6">
        <w:rPr>
          <w:rFonts w:ascii="Times New Roman" w:eastAsia="宋体" w:hAnsi="宋体" w:cs="Times New Roman" w:hint="eastAsia"/>
          <w:kern w:val="0"/>
          <w:sz w:val="24"/>
          <w:szCs w:val="24"/>
        </w:rPr>
        <w:t>，总体技术水平属于国际先进水平。</w:t>
      </w:r>
    </w:p>
    <w:p w14:paraId="04599120"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t>五、与有关的现行法律、法规和强制性国家标准的关系</w:t>
      </w:r>
    </w:p>
    <w:p w14:paraId="7B213BE8"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本文件与有关现行法律、法规、规章及相关标准协调一致，没有冲突。</w:t>
      </w:r>
    </w:p>
    <w:p w14:paraId="450437D4"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t>六、重大分歧意见的处理经过和依据</w:t>
      </w:r>
    </w:p>
    <w:p w14:paraId="4DDEA64B"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本文件在</w:t>
      </w:r>
      <w:r w:rsidRPr="005D22E6">
        <w:rPr>
          <w:rFonts w:ascii="宋体" w:eastAsia="宋体" w:hAnsi="宋体" w:cs="Times New Roman" w:hint="eastAsia"/>
          <w:sz w:val="24"/>
          <w:szCs w:val="24"/>
        </w:rPr>
        <w:t>修订</w:t>
      </w:r>
      <w:r w:rsidRPr="005D22E6">
        <w:rPr>
          <w:rFonts w:ascii="Times New Roman" w:eastAsia="宋体" w:hAnsi="宋体" w:cs="Times New Roman" w:hint="eastAsia"/>
          <w:kern w:val="0"/>
          <w:sz w:val="24"/>
          <w:szCs w:val="24"/>
        </w:rPr>
        <w:t>过程中未出现重大分歧意见。</w:t>
      </w:r>
    </w:p>
    <w:p w14:paraId="719E62C2"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t>七、国家标准作为强制性国家标准或推荐性国家标准的建议</w:t>
      </w:r>
    </w:p>
    <w:p w14:paraId="643FB2AC" w14:textId="77777777" w:rsidR="002A0DE8" w:rsidRPr="005D22E6" w:rsidRDefault="003B5264">
      <w:pPr>
        <w:spacing w:line="360" w:lineRule="auto"/>
        <w:ind w:firstLineChars="200" w:firstLine="480"/>
        <w:rPr>
          <w:rFonts w:ascii="Times New Roman" w:eastAsia="宋体" w:hAnsi="宋体" w:cs="Times New Roman"/>
          <w:sz w:val="24"/>
          <w:szCs w:val="24"/>
        </w:rPr>
      </w:pPr>
      <w:r w:rsidRPr="005D22E6">
        <w:rPr>
          <w:rFonts w:ascii="Times New Roman" w:eastAsia="宋体" w:hAnsi="宋体" w:cs="Times New Roman" w:hint="eastAsia"/>
          <w:kern w:val="0"/>
          <w:sz w:val="24"/>
          <w:szCs w:val="24"/>
        </w:rPr>
        <w:t>建议《金精矿化学分析方法</w:t>
      </w:r>
      <w:r w:rsidRPr="005D22E6">
        <w:rPr>
          <w:rFonts w:ascii="Times New Roman" w:eastAsia="宋体" w:hAnsi="宋体" w:cs="Times New Roman" w:hint="eastAsia"/>
          <w:kern w:val="0"/>
          <w:sz w:val="24"/>
          <w:szCs w:val="24"/>
        </w:rPr>
        <w:t xml:space="preserve">  </w:t>
      </w:r>
      <w:r w:rsidRPr="005D22E6">
        <w:rPr>
          <w:rFonts w:ascii="Times New Roman" w:eastAsia="宋体" w:hAnsi="宋体" w:cs="Times New Roman" w:hint="eastAsia"/>
          <w:kern w:val="0"/>
          <w:sz w:val="24"/>
          <w:szCs w:val="24"/>
        </w:rPr>
        <w:t>第</w:t>
      </w:r>
      <w:r w:rsidRPr="005D22E6">
        <w:rPr>
          <w:rFonts w:ascii="宋体" w:eastAsia="宋体" w:hAnsi="宋体" w:cs="Times New Roman" w:hint="eastAsia"/>
          <w:kern w:val="0"/>
          <w:sz w:val="24"/>
          <w:szCs w:val="24"/>
        </w:rPr>
        <w:t>7</w:t>
      </w:r>
      <w:r w:rsidRPr="005D22E6">
        <w:rPr>
          <w:rFonts w:ascii="Times New Roman" w:eastAsia="宋体" w:hAnsi="宋体" w:cs="Times New Roman" w:hint="eastAsia"/>
          <w:kern w:val="0"/>
          <w:sz w:val="24"/>
          <w:szCs w:val="24"/>
        </w:rPr>
        <w:t>部分：铁量的测定》作为推荐性国家标准发布实施</w:t>
      </w:r>
      <w:r w:rsidRPr="005D22E6">
        <w:rPr>
          <w:rFonts w:ascii="宋体" w:hAnsi="宋体" w:cs="宋体" w:hint="eastAsia"/>
          <w:sz w:val="28"/>
          <w:szCs w:val="28"/>
        </w:rPr>
        <w:t>。</w:t>
      </w:r>
    </w:p>
    <w:p w14:paraId="7AB6569C"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t>八、贯彻标准的要求和措施建议（包括组织措施、技术措施、过渡办法等内容）</w:t>
      </w:r>
    </w:p>
    <w:p w14:paraId="40258E9D"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建议本文件在批准发</w:t>
      </w:r>
      <w:r w:rsidRPr="005D22E6">
        <w:rPr>
          <w:rFonts w:ascii="宋体" w:eastAsia="宋体" w:hAnsi="宋体" w:cs="Times New Roman" w:hint="eastAsia"/>
          <w:kern w:val="0"/>
          <w:sz w:val="24"/>
          <w:szCs w:val="24"/>
        </w:rPr>
        <w:t>布6个月后实施。</w:t>
      </w:r>
    </w:p>
    <w:p w14:paraId="7BDD0542"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本文件发布后，应向黄金行业生产单位进行宣贯，向所有从事黄金检测工作的相关人员推荐执行本文件。</w:t>
      </w:r>
    </w:p>
    <w:p w14:paraId="691FA837"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lastRenderedPageBreak/>
        <w:t>九、废止现行有关标准的建议</w:t>
      </w:r>
    </w:p>
    <w:p w14:paraId="7E852DE7"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宋体" w:cs="Times New Roman" w:hint="eastAsia"/>
          <w:kern w:val="0"/>
          <w:sz w:val="24"/>
          <w:szCs w:val="24"/>
        </w:rPr>
        <w:t>本标准化文件代替现行版本</w:t>
      </w:r>
      <w:r w:rsidRPr="005D22E6">
        <w:rPr>
          <w:rFonts w:ascii="Times New Roman" w:eastAsia="宋体" w:hAnsi="宋体" w:cs="Times New Roman" w:hint="eastAsia"/>
          <w:kern w:val="0"/>
          <w:sz w:val="24"/>
          <w:szCs w:val="24"/>
        </w:rPr>
        <w:t>G</w:t>
      </w:r>
      <w:r w:rsidRPr="005D22E6">
        <w:rPr>
          <w:rFonts w:ascii="Times New Roman" w:eastAsia="宋体" w:hAnsi="宋体" w:cs="Times New Roman"/>
          <w:kern w:val="0"/>
          <w:sz w:val="24"/>
          <w:szCs w:val="24"/>
        </w:rPr>
        <w:t>B/T</w:t>
      </w:r>
      <w:r w:rsidRPr="005D22E6">
        <w:rPr>
          <w:rFonts w:ascii="Times New Roman" w:eastAsia="宋体" w:hAnsi="宋体" w:cs="Times New Roman" w:hint="eastAsia"/>
          <w:kern w:val="0"/>
          <w:sz w:val="24"/>
          <w:szCs w:val="24"/>
        </w:rPr>
        <w:t xml:space="preserve"> </w:t>
      </w:r>
      <w:r w:rsidRPr="005D22E6">
        <w:rPr>
          <w:rFonts w:ascii="宋体" w:eastAsia="宋体" w:hAnsi="宋体" w:cs="Times New Roman" w:hint="eastAsia"/>
          <w:kern w:val="0"/>
          <w:sz w:val="24"/>
          <w:szCs w:val="24"/>
        </w:rPr>
        <w:t>773</w:t>
      </w:r>
      <w:r w:rsidRPr="005D22E6">
        <w:rPr>
          <w:rFonts w:ascii="宋体" w:eastAsia="宋体" w:hAnsi="宋体" w:cs="Times New Roman"/>
          <w:kern w:val="0"/>
          <w:sz w:val="24"/>
          <w:szCs w:val="24"/>
        </w:rPr>
        <w:t>9.</w:t>
      </w:r>
      <w:r w:rsidRPr="005D22E6">
        <w:rPr>
          <w:rFonts w:ascii="宋体" w:eastAsia="宋体" w:hAnsi="宋体" w:cs="Times New Roman" w:hint="eastAsia"/>
          <w:kern w:val="0"/>
          <w:sz w:val="24"/>
          <w:szCs w:val="24"/>
        </w:rPr>
        <w:t>7—2</w:t>
      </w:r>
      <w:r w:rsidRPr="005D22E6">
        <w:rPr>
          <w:rFonts w:ascii="宋体" w:eastAsia="宋体" w:hAnsi="宋体" w:cs="Times New Roman"/>
          <w:kern w:val="0"/>
          <w:sz w:val="24"/>
          <w:szCs w:val="24"/>
        </w:rPr>
        <w:t>007</w:t>
      </w:r>
      <w:r w:rsidRPr="005D22E6">
        <w:rPr>
          <w:rFonts w:ascii="宋体" w:eastAsia="宋体" w:hAnsi="宋体" w:cs="Times New Roman" w:hint="eastAsia"/>
          <w:kern w:val="0"/>
          <w:sz w:val="24"/>
          <w:szCs w:val="24"/>
        </w:rPr>
        <w:t>《金精矿化学分析方法  第7部分：铁量的测定</w:t>
      </w:r>
      <w:r w:rsidRPr="005D22E6">
        <w:rPr>
          <w:rFonts w:ascii="Times New Roman" w:eastAsia="宋体" w:hAnsi="宋体" w:cs="Times New Roman" w:hint="eastAsia"/>
          <w:kern w:val="0"/>
          <w:sz w:val="24"/>
          <w:szCs w:val="24"/>
        </w:rPr>
        <w:t>》。</w:t>
      </w:r>
    </w:p>
    <w:p w14:paraId="563EF4A6" w14:textId="77777777" w:rsidR="002A0DE8" w:rsidRPr="005D22E6" w:rsidRDefault="003B5264" w:rsidP="00F34655">
      <w:pPr>
        <w:spacing w:beforeLines="100" w:before="312" w:afterLines="100" w:after="312" w:line="360" w:lineRule="auto"/>
        <w:outlineLvl w:val="0"/>
        <w:rPr>
          <w:rFonts w:ascii="宋体" w:hAnsi="宋体"/>
          <w:b/>
          <w:bCs/>
          <w:sz w:val="24"/>
        </w:rPr>
      </w:pPr>
      <w:r w:rsidRPr="005D22E6">
        <w:rPr>
          <w:rFonts w:ascii="宋体" w:hAnsi="宋体" w:hint="eastAsia"/>
          <w:b/>
          <w:bCs/>
          <w:sz w:val="24"/>
        </w:rPr>
        <w:t>十、其他应予说明的事项</w:t>
      </w:r>
    </w:p>
    <w:p w14:paraId="483C565A" w14:textId="77777777" w:rsidR="002A0DE8" w:rsidRPr="005D22E6" w:rsidRDefault="003B5264">
      <w:pPr>
        <w:spacing w:line="360" w:lineRule="auto"/>
        <w:ind w:firstLineChars="200" w:firstLine="480"/>
        <w:rPr>
          <w:rFonts w:ascii="Times New Roman" w:eastAsia="宋体" w:hAnsi="宋体" w:cs="Times New Roman"/>
          <w:kern w:val="0"/>
          <w:sz w:val="24"/>
          <w:szCs w:val="24"/>
        </w:rPr>
      </w:pPr>
      <w:r w:rsidRPr="005D22E6">
        <w:rPr>
          <w:rFonts w:ascii="Times New Roman" w:eastAsia="宋体" w:hAnsi="Times New Roman" w:cs="Times New Roman" w:hint="eastAsia"/>
          <w:kern w:val="0"/>
          <w:sz w:val="24"/>
          <w:szCs w:val="24"/>
        </w:rPr>
        <w:t>无。</w:t>
      </w:r>
    </w:p>
    <w:sectPr w:rsidR="002A0DE8" w:rsidRPr="005D22E6">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EA0E" w14:textId="77777777" w:rsidR="00B95676" w:rsidRDefault="00B95676">
      <w:r>
        <w:separator/>
      </w:r>
    </w:p>
  </w:endnote>
  <w:endnote w:type="continuationSeparator" w:id="0">
    <w:p w14:paraId="61DF0103" w14:textId="77777777" w:rsidR="00B95676" w:rsidRDefault="00B9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docPartObj>
        <w:docPartGallery w:val="AutoText"/>
      </w:docPartObj>
    </w:sdtPr>
    <w:sdtEndPr/>
    <w:sdtContent>
      <w:p w14:paraId="4810FD18" w14:textId="77777777" w:rsidR="002A0DE8" w:rsidRDefault="003B5264">
        <w:pPr>
          <w:pStyle w:val="ab"/>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F34655" w:rsidRPr="00F34655">
          <w:rPr>
            <w:rFonts w:ascii="宋体" w:hAnsi="宋体"/>
            <w:noProof/>
            <w:lang w:val="zh-CN"/>
          </w:rPr>
          <w:t>4</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DD60" w14:textId="77777777" w:rsidR="00B95676" w:rsidRDefault="00B95676">
      <w:r>
        <w:separator/>
      </w:r>
    </w:p>
  </w:footnote>
  <w:footnote w:type="continuationSeparator" w:id="0">
    <w:p w14:paraId="16C62778" w14:textId="77777777" w:rsidR="00B95676" w:rsidRDefault="00B9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59E"/>
    <w:rsid w:val="00003000"/>
    <w:rsid w:val="0000456E"/>
    <w:rsid w:val="0000783A"/>
    <w:rsid w:val="00011AB7"/>
    <w:rsid w:val="00012646"/>
    <w:rsid w:val="00012F7B"/>
    <w:rsid w:val="000168A9"/>
    <w:rsid w:val="00027B2C"/>
    <w:rsid w:val="0003078E"/>
    <w:rsid w:val="000322E5"/>
    <w:rsid w:val="00034591"/>
    <w:rsid w:val="000349F7"/>
    <w:rsid w:val="00035AA2"/>
    <w:rsid w:val="00036A3B"/>
    <w:rsid w:val="000434BE"/>
    <w:rsid w:val="00044C9E"/>
    <w:rsid w:val="00046436"/>
    <w:rsid w:val="0004749D"/>
    <w:rsid w:val="00053D9F"/>
    <w:rsid w:val="00055F6F"/>
    <w:rsid w:val="00060CFF"/>
    <w:rsid w:val="00061F70"/>
    <w:rsid w:val="000659E3"/>
    <w:rsid w:val="000660C4"/>
    <w:rsid w:val="00070C7E"/>
    <w:rsid w:val="00070FC4"/>
    <w:rsid w:val="00082486"/>
    <w:rsid w:val="00084DC4"/>
    <w:rsid w:val="00085AA6"/>
    <w:rsid w:val="00090533"/>
    <w:rsid w:val="000926CE"/>
    <w:rsid w:val="00096C33"/>
    <w:rsid w:val="00097905"/>
    <w:rsid w:val="000A2FEC"/>
    <w:rsid w:val="000A389B"/>
    <w:rsid w:val="000A423B"/>
    <w:rsid w:val="000A4615"/>
    <w:rsid w:val="000A54DD"/>
    <w:rsid w:val="000A580F"/>
    <w:rsid w:val="000A5CA0"/>
    <w:rsid w:val="000A68AE"/>
    <w:rsid w:val="000B1246"/>
    <w:rsid w:val="000B210B"/>
    <w:rsid w:val="000B2577"/>
    <w:rsid w:val="000B2D39"/>
    <w:rsid w:val="000B449B"/>
    <w:rsid w:val="000B5874"/>
    <w:rsid w:val="000C2DF1"/>
    <w:rsid w:val="000C2E07"/>
    <w:rsid w:val="000C4436"/>
    <w:rsid w:val="000C68FC"/>
    <w:rsid w:val="000E11ED"/>
    <w:rsid w:val="000E2C29"/>
    <w:rsid w:val="000E5A6C"/>
    <w:rsid w:val="000F0F60"/>
    <w:rsid w:val="000F2DFF"/>
    <w:rsid w:val="000F3086"/>
    <w:rsid w:val="000F4A13"/>
    <w:rsid w:val="000F6B8C"/>
    <w:rsid w:val="000F786C"/>
    <w:rsid w:val="00103A47"/>
    <w:rsid w:val="00106D26"/>
    <w:rsid w:val="00112D31"/>
    <w:rsid w:val="0011378F"/>
    <w:rsid w:val="00114DE3"/>
    <w:rsid w:val="00116F25"/>
    <w:rsid w:val="00117C12"/>
    <w:rsid w:val="001247A1"/>
    <w:rsid w:val="00135833"/>
    <w:rsid w:val="00140C56"/>
    <w:rsid w:val="00145FAE"/>
    <w:rsid w:val="001479DB"/>
    <w:rsid w:val="00154B65"/>
    <w:rsid w:val="00156002"/>
    <w:rsid w:val="00175173"/>
    <w:rsid w:val="00175D6D"/>
    <w:rsid w:val="00191B69"/>
    <w:rsid w:val="00193A95"/>
    <w:rsid w:val="00197147"/>
    <w:rsid w:val="001A0999"/>
    <w:rsid w:val="001A1501"/>
    <w:rsid w:val="001A1C65"/>
    <w:rsid w:val="001A3BD6"/>
    <w:rsid w:val="001A5991"/>
    <w:rsid w:val="001B00E4"/>
    <w:rsid w:val="001B2882"/>
    <w:rsid w:val="001B4CE1"/>
    <w:rsid w:val="001C4DFC"/>
    <w:rsid w:val="001D2B70"/>
    <w:rsid w:val="001D5450"/>
    <w:rsid w:val="001D71CF"/>
    <w:rsid w:val="001E0888"/>
    <w:rsid w:val="001E6763"/>
    <w:rsid w:val="001E680A"/>
    <w:rsid w:val="001F1021"/>
    <w:rsid w:val="001F2FE0"/>
    <w:rsid w:val="001F53C0"/>
    <w:rsid w:val="00200D83"/>
    <w:rsid w:val="00201B88"/>
    <w:rsid w:val="00202A2F"/>
    <w:rsid w:val="00211308"/>
    <w:rsid w:val="0021573B"/>
    <w:rsid w:val="00215F60"/>
    <w:rsid w:val="0022156A"/>
    <w:rsid w:val="002243D6"/>
    <w:rsid w:val="0023474F"/>
    <w:rsid w:val="00235151"/>
    <w:rsid w:val="0023659C"/>
    <w:rsid w:val="002379B0"/>
    <w:rsid w:val="002529F1"/>
    <w:rsid w:val="00253B0E"/>
    <w:rsid w:val="00255C0E"/>
    <w:rsid w:val="0025712C"/>
    <w:rsid w:val="00261364"/>
    <w:rsid w:val="00262403"/>
    <w:rsid w:val="00264822"/>
    <w:rsid w:val="00265224"/>
    <w:rsid w:val="002672C9"/>
    <w:rsid w:val="002868E2"/>
    <w:rsid w:val="00286BE4"/>
    <w:rsid w:val="00286F1A"/>
    <w:rsid w:val="002914F4"/>
    <w:rsid w:val="002920F4"/>
    <w:rsid w:val="002941B4"/>
    <w:rsid w:val="00295965"/>
    <w:rsid w:val="002A0BE5"/>
    <w:rsid w:val="002A0DE8"/>
    <w:rsid w:val="002A341A"/>
    <w:rsid w:val="002B2CA4"/>
    <w:rsid w:val="002B4927"/>
    <w:rsid w:val="002B4981"/>
    <w:rsid w:val="002B5538"/>
    <w:rsid w:val="002C066A"/>
    <w:rsid w:val="002C11FE"/>
    <w:rsid w:val="002C4627"/>
    <w:rsid w:val="002C49DA"/>
    <w:rsid w:val="002D1DF3"/>
    <w:rsid w:val="002D2455"/>
    <w:rsid w:val="002D2F6B"/>
    <w:rsid w:val="002D3237"/>
    <w:rsid w:val="002E51D4"/>
    <w:rsid w:val="002E7550"/>
    <w:rsid w:val="002F07AE"/>
    <w:rsid w:val="002F42FA"/>
    <w:rsid w:val="002F64E1"/>
    <w:rsid w:val="00311685"/>
    <w:rsid w:val="00320E1B"/>
    <w:rsid w:val="003233E6"/>
    <w:rsid w:val="00326635"/>
    <w:rsid w:val="00341BC0"/>
    <w:rsid w:val="00343D1F"/>
    <w:rsid w:val="00346624"/>
    <w:rsid w:val="003507D1"/>
    <w:rsid w:val="003515DE"/>
    <w:rsid w:val="00353D5C"/>
    <w:rsid w:val="0035460B"/>
    <w:rsid w:val="00356A98"/>
    <w:rsid w:val="00360FE1"/>
    <w:rsid w:val="00366A8F"/>
    <w:rsid w:val="00366D5D"/>
    <w:rsid w:val="00370134"/>
    <w:rsid w:val="00377098"/>
    <w:rsid w:val="00386013"/>
    <w:rsid w:val="00390FB6"/>
    <w:rsid w:val="00391460"/>
    <w:rsid w:val="003925E5"/>
    <w:rsid w:val="00393226"/>
    <w:rsid w:val="0039559E"/>
    <w:rsid w:val="00395B29"/>
    <w:rsid w:val="003A5CA6"/>
    <w:rsid w:val="003A7681"/>
    <w:rsid w:val="003B1A4C"/>
    <w:rsid w:val="003B2B10"/>
    <w:rsid w:val="003B5264"/>
    <w:rsid w:val="003B7E77"/>
    <w:rsid w:val="003C1A6F"/>
    <w:rsid w:val="003C69CD"/>
    <w:rsid w:val="003D26BB"/>
    <w:rsid w:val="003D4CE9"/>
    <w:rsid w:val="003D4D86"/>
    <w:rsid w:val="003D5486"/>
    <w:rsid w:val="003D6537"/>
    <w:rsid w:val="003E323F"/>
    <w:rsid w:val="003E6052"/>
    <w:rsid w:val="003F0C1D"/>
    <w:rsid w:val="003F297B"/>
    <w:rsid w:val="003F6B96"/>
    <w:rsid w:val="00400EE1"/>
    <w:rsid w:val="00402C57"/>
    <w:rsid w:val="0040433C"/>
    <w:rsid w:val="00405690"/>
    <w:rsid w:val="00406B05"/>
    <w:rsid w:val="00406D0B"/>
    <w:rsid w:val="00410395"/>
    <w:rsid w:val="00410F7D"/>
    <w:rsid w:val="00415FA0"/>
    <w:rsid w:val="00417C34"/>
    <w:rsid w:val="00427EA1"/>
    <w:rsid w:val="00430AD3"/>
    <w:rsid w:val="00434B33"/>
    <w:rsid w:val="00435E02"/>
    <w:rsid w:val="00436ACA"/>
    <w:rsid w:val="00440101"/>
    <w:rsid w:val="004403B2"/>
    <w:rsid w:val="004469DD"/>
    <w:rsid w:val="0045265A"/>
    <w:rsid w:val="004572BF"/>
    <w:rsid w:val="0047464E"/>
    <w:rsid w:val="004769D7"/>
    <w:rsid w:val="004803C7"/>
    <w:rsid w:val="004826E6"/>
    <w:rsid w:val="00490CD1"/>
    <w:rsid w:val="004A15B9"/>
    <w:rsid w:val="004A17F8"/>
    <w:rsid w:val="004A2936"/>
    <w:rsid w:val="004A4835"/>
    <w:rsid w:val="004A512A"/>
    <w:rsid w:val="004B2CEC"/>
    <w:rsid w:val="004B3367"/>
    <w:rsid w:val="004B3593"/>
    <w:rsid w:val="004B7860"/>
    <w:rsid w:val="004C6DE9"/>
    <w:rsid w:val="004D16AB"/>
    <w:rsid w:val="004D5E06"/>
    <w:rsid w:val="004E4601"/>
    <w:rsid w:val="004E50EF"/>
    <w:rsid w:val="004F6A82"/>
    <w:rsid w:val="004F6CF6"/>
    <w:rsid w:val="0050149C"/>
    <w:rsid w:val="00501BFF"/>
    <w:rsid w:val="005024E7"/>
    <w:rsid w:val="00504C88"/>
    <w:rsid w:val="005074B9"/>
    <w:rsid w:val="00507A82"/>
    <w:rsid w:val="005120AD"/>
    <w:rsid w:val="005147B4"/>
    <w:rsid w:val="0052269C"/>
    <w:rsid w:val="005243BE"/>
    <w:rsid w:val="00526065"/>
    <w:rsid w:val="00537D4F"/>
    <w:rsid w:val="005404BD"/>
    <w:rsid w:val="00540CE8"/>
    <w:rsid w:val="00542269"/>
    <w:rsid w:val="00547BF4"/>
    <w:rsid w:val="00555A3C"/>
    <w:rsid w:val="00562F47"/>
    <w:rsid w:val="00563CB0"/>
    <w:rsid w:val="005653DD"/>
    <w:rsid w:val="00565423"/>
    <w:rsid w:val="00566AD2"/>
    <w:rsid w:val="0057406D"/>
    <w:rsid w:val="00581271"/>
    <w:rsid w:val="0058360B"/>
    <w:rsid w:val="00591ED8"/>
    <w:rsid w:val="00593076"/>
    <w:rsid w:val="00593AB4"/>
    <w:rsid w:val="00594499"/>
    <w:rsid w:val="0059691D"/>
    <w:rsid w:val="005A1EAA"/>
    <w:rsid w:val="005A5374"/>
    <w:rsid w:val="005A6ACD"/>
    <w:rsid w:val="005B4929"/>
    <w:rsid w:val="005B5E61"/>
    <w:rsid w:val="005B7912"/>
    <w:rsid w:val="005C08CA"/>
    <w:rsid w:val="005C0C90"/>
    <w:rsid w:val="005D22E6"/>
    <w:rsid w:val="005D597F"/>
    <w:rsid w:val="005E1AA2"/>
    <w:rsid w:val="005E2D83"/>
    <w:rsid w:val="005E6636"/>
    <w:rsid w:val="005F20E7"/>
    <w:rsid w:val="005F2304"/>
    <w:rsid w:val="005F2887"/>
    <w:rsid w:val="005F77D1"/>
    <w:rsid w:val="005F7EE4"/>
    <w:rsid w:val="00600172"/>
    <w:rsid w:val="00601C73"/>
    <w:rsid w:val="006027F6"/>
    <w:rsid w:val="00611C8E"/>
    <w:rsid w:val="00614370"/>
    <w:rsid w:val="00615FC1"/>
    <w:rsid w:val="00620935"/>
    <w:rsid w:val="00635C58"/>
    <w:rsid w:val="00635CA2"/>
    <w:rsid w:val="006377C1"/>
    <w:rsid w:val="006419A8"/>
    <w:rsid w:val="00643402"/>
    <w:rsid w:val="00644182"/>
    <w:rsid w:val="006454F7"/>
    <w:rsid w:val="00652ACA"/>
    <w:rsid w:val="00655E0F"/>
    <w:rsid w:val="00657E3F"/>
    <w:rsid w:val="00660BFC"/>
    <w:rsid w:val="006612B5"/>
    <w:rsid w:val="006628BE"/>
    <w:rsid w:val="00662CCD"/>
    <w:rsid w:val="0066544D"/>
    <w:rsid w:val="006806F0"/>
    <w:rsid w:val="00682DA7"/>
    <w:rsid w:val="00690120"/>
    <w:rsid w:val="00693261"/>
    <w:rsid w:val="006960E2"/>
    <w:rsid w:val="006A124B"/>
    <w:rsid w:val="006A42BE"/>
    <w:rsid w:val="006A6D93"/>
    <w:rsid w:val="006B0119"/>
    <w:rsid w:val="006B14E6"/>
    <w:rsid w:val="006B4519"/>
    <w:rsid w:val="006B7B33"/>
    <w:rsid w:val="006C1081"/>
    <w:rsid w:val="006C2AA7"/>
    <w:rsid w:val="006C37C8"/>
    <w:rsid w:val="006C4DEE"/>
    <w:rsid w:val="006C578E"/>
    <w:rsid w:val="006C6D91"/>
    <w:rsid w:val="006D21B2"/>
    <w:rsid w:val="006D3C9B"/>
    <w:rsid w:val="006D6E34"/>
    <w:rsid w:val="006F1404"/>
    <w:rsid w:val="006F3646"/>
    <w:rsid w:val="006F424C"/>
    <w:rsid w:val="007050B3"/>
    <w:rsid w:val="007054F1"/>
    <w:rsid w:val="00705B37"/>
    <w:rsid w:val="0071028A"/>
    <w:rsid w:val="007107C2"/>
    <w:rsid w:val="00720762"/>
    <w:rsid w:val="00721129"/>
    <w:rsid w:val="007256B4"/>
    <w:rsid w:val="00730744"/>
    <w:rsid w:val="0073551C"/>
    <w:rsid w:val="007613E0"/>
    <w:rsid w:val="007646D2"/>
    <w:rsid w:val="00775638"/>
    <w:rsid w:val="00775D38"/>
    <w:rsid w:val="00782D00"/>
    <w:rsid w:val="007832FC"/>
    <w:rsid w:val="00785F15"/>
    <w:rsid w:val="00787C91"/>
    <w:rsid w:val="007939CA"/>
    <w:rsid w:val="00794514"/>
    <w:rsid w:val="00796333"/>
    <w:rsid w:val="007A046D"/>
    <w:rsid w:val="007A211F"/>
    <w:rsid w:val="007A21C2"/>
    <w:rsid w:val="007A349D"/>
    <w:rsid w:val="007A4555"/>
    <w:rsid w:val="007A5169"/>
    <w:rsid w:val="007B0CD0"/>
    <w:rsid w:val="007B1946"/>
    <w:rsid w:val="007B6CFF"/>
    <w:rsid w:val="007C407C"/>
    <w:rsid w:val="007D1DD7"/>
    <w:rsid w:val="007D3B42"/>
    <w:rsid w:val="007E0C98"/>
    <w:rsid w:val="007E6588"/>
    <w:rsid w:val="007F0F96"/>
    <w:rsid w:val="007F3FC2"/>
    <w:rsid w:val="007F63AE"/>
    <w:rsid w:val="007F6760"/>
    <w:rsid w:val="007F6E3A"/>
    <w:rsid w:val="008039E3"/>
    <w:rsid w:val="0081717B"/>
    <w:rsid w:val="0081777A"/>
    <w:rsid w:val="00822BF2"/>
    <w:rsid w:val="00830D46"/>
    <w:rsid w:val="008326CE"/>
    <w:rsid w:val="008338A3"/>
    <w:rsid w:val="00835016"/>
    <w:rsid w:val="00842FE9"/>
    <w:rsid w:val="00845C58"/>
    <w:rsid w:val="00851502"/>
    <w:rsid w:val="00851F01"/>
    <w:rsid w:val="00851F67"/>
    <w:rsid w:val="008619A2"/>
    <w:rsid w:val="00862C03"/>
    <w:rsid w:val="00863917"/>
    <w:rsid w:val="008647FC"/>
    <w:rsid w:val="00865CED"/>
    <w:rsid w:val="00866F25"/>
    <w:rsid w:val="00874D11"/>
    <w:rsid w:val="008802C8"/>
    <w:rsid w:val="00887688"/>
    <w:rsid w:val="00890D17"/>
    <w:rsid w:val="00896A08"/>
    <w:rsid w:val="008A1753"/>
    <w:rsid w:val="008A2958"/>
    <w:rsid w:val="008A399B"/>
    <w:rsid w:val="008A550E"/>
    <w:rsid w:val="008B0E1B"/>
    <w:rsid w:val="008B3E3B"/>
    <w:rsid w:val="008B5BEB"/>
    <w:rsid w:val="008B6F9B"/>
    <w:rsid w:val="008B7EFD"/>
    <w:rsid w:val="008C0AE6"/>
    <w:rsid w:val="008C5200"/>
    <w:rsid w:val="008D4123"/>
    <w:rsid w:val="008D5D70"/>
    <w:rsid w:val="008D7A0F"/>
    <w:rsid w:val="008E194A"/>
    <w:rsid w:val="008E37EE"/>
    <w:rsid w:val="008F2936"/>
    <w:rsid w:val="008F35D7"/>
    <w:rsid w:val="00900DF8"/>
    <w:rsid w:val="009013B7"/>
    <w:rsid w:val="00901AA4"/>
    <w:rsid w:val="00904365"/>
    <w:rsid w:val="009064B7"/>
    <w:rsid w:val="0090724C"/>
    <w:rsid w:val="0091325B"/>
    <w:rsid w:val="00914899"/>
    <w:rsid w:val="009260CB"/>
    <w:rsid w:val="00927621"/>
    <w:rsid w:val="009301E9"/>
    <w:rsid w:val="00930257"/>
    <w:rsid w:val="009364E8"/>
    <w:rsid w:val="0093722B"/>
    <w:rsid w:val="0094151F"/>
    <w:rsid w:val="00941E88"/>
    <w:rsid w:val="00942069"/>
    <w:rsid w:val="009426FC"/>
    <w:rsid w:val="00943147"/>
    <w:rsid w:val="00946A1D"/>
    <w:rsid w:val="00951751"/>
    <w:rsid w:val="009526AB"/>
    <w:rsid w:val="00956A46"/>
    <w:rsid w:val="00962E87"/>
    <w:rsid w:val="00973A98"/>
    <w:rsid w:val="00975990"/>
    <w:rsid w:val="00976470"/>
    <w:rsid w:val="00976C11"/>
    <w:rsid w:val="00981F6C"/>
    <w:rsid w:val="00990109"/>
    <w:rsid w:val="00992756"/>
    <w:rsid w:val="00995AB2"/>
    <w:rsid w:val="009A1A39"/>
    <w:rsid w:val="009A2506"/>
    <w:rsid w:val="009B1139"/>
    <w:rsid w:val="009D1299"/>
    <w:rsid w:val="009D13B8"/>
    <w:rsid w:val="009D2616"/>
    <w:rsid w:val="009D451F"/>
    <w:rsid w:val="009D6E7B"/>
    <w:rsid w:val="009E09FE"/>
    <w:rsid w:val="009E19AB"/>
    <w:rsid w:val="009E29C6"/>
    <w:rsid w:val="009E64F7"/>
    <w:rsid w:val="009F15A7"/>
    <w:rsid w:val="00A0165A"/>
    <w:rsid w:val="00A0362C"/>
    <w:rsid w:val="00A11E3E"/>
    <w:rsid w:val="00A1286A"/>
    <w:rsid w:val="00A14B4E"/>
    <w:rsid w:val="00A165C7"/>
    <w:rsid w:val="00A17E38"/>
    <w:rsid w:val="00A221E5"/>
    <w:rsid w:val="00A234EC"/>
    <w:rsid w:val="00A23DD7"/>
    <w:rsid w:val="00A26702"/>
    <w:rsid w:val="00A279D5"/>
    <w:rsid w:val="00A34ED3"/>
    <w:rsid w:val="00A45D6F"/>
    <w:rsid w:val="00A5033E"/>
    <w:rsid w:val="00A532F3"/>
    <w:rsid w:val="00A54946"/>
    <w:rsid w:val="00A56C13"/>
    <w:rsid w:val="00A60DDF"/>
    <w:rsid w:val="00A61A5E"/>
    <w:rsid w:val="00A7047F"/>
    <w:rsid w:val="00A71867"/>
    <w:rsid w:val="00A8353F"/>
    <w:rsid w:val="00A9275D"/>
    <w:rsid w:val="00AA3BD6"/>
    <w:rsid w:val="00AA600B"/>
    <w:rsid w:val="00AB13EF"/>
    <w:rsid w:val="00AB4623"/>
    <w:rsid w:val="00AB4772"/>
    <w:rsid w:val="00AB50C3"/>
    <w:rsid w:val="00AB6D4C"/>
    <w:rsid w:val="00AD1BDA"/>
    <w:rsid w:val="00AD2CCB"/>
    <w:rsid w:val="00AD42B0"/>
    <w:rsid w:val="00AD4453"/>
    <w:rsid w:val="00AE48E3"/>
    <w:rsid w:val="00AE7C18"/>
    <w:rsid w:val="00B020FC"/>
    <w:rsid w:val="00B0554D"/>
    <w:rsid w:val="00B05A9B"/>
    <w:rsid w:val="00B1035E"/>
    <w:rsid w:val="00B1604E"/>
    <w:rsid w:val="00B17A94"/>
    <w:rsid w:val="00B20851"/>
    <w:rsid w:val="00B21EC5"/>
    <w:rsid w:val="00B407E6"/>
    <w:rsid w:val="00B43DDA"/>
    <w:rsid w:val="00B45426"/>
    <w:rsid w:val="00B4682E"/>
    <w:rsid w:val="00B46BEE"/>
    <w:rsid w:val="00B46EBE"/>
    <w:rsid w:val="00B53136"/>
    <w:rsid w:val="00B57D2E"/>
    <w:rsid w:val="00B63D0A"/>
    <w:rsid w:val="00B70BF5"/>
    <w:rsid w:val="00B7115E"/>
    <w:rsid w:val="00B71493"/>
    <w:rsid w:val="00B76135"/>
    <w:rsid w:val="00B77CDC"/>
    <w:rsid w:val="00B8301A"/>
    <w:rsid w:val="00B93008"/>
    <w:rsid w:val="00B9337B"/>
    <w:rsid w:val="00B95676"/>
    <w:rsid w:val="00B96A34"/>
    <w:rsid w:val="00B9734E"/>
    <w:rsid w:val="00BA562C"/>
    <w:rsid w:val="00BB52B4"/>
    <w:rsid w:val="00BB7CD9"/>
    <w:rsid w:val="00BC38D6"/>
    <w:rsid w:val="00BC4025"/>
    <w:rsid w:val="00BD058F"/>
    <w:rsid w:val="00BD3808"/>
    <w:rsid w:val="00BD42E4"/>
    <w:rsid w:val="00BE09CD"/>
    <w:rsid w:val="00BE0E0B"/>
    <w:rsid w:val="00BE11B6"/>
    <w:rsid w:val="00BE66C7"/>
    <w:rsid w:val="00BE6F97"/>
    <w:rsid w:val="00BF03CA"/>
    <w:rsid w:val="00BF0CA1"/>
    <w:rsid w:val="00BF5D05"/>
    <w:rsid w:val="00BF792C"/>
    <w:rsid w:val="00C00EA2"/>
    <w:rsid w:val="00C034AC"/>
    <w:rsid w:val="00C03BEA"/>
    <w:rsid w:val="00C062F7"/>
    <w:rsid w:val="00C1030B"/>
    <w:rsid w:val="00C25506"/>
    <w:rsid w:val="00C25B18"/>
    <w:rsid w:val="00C26248"/>
    <w:rsid w:val="00C3136C"/>
    <w:rsid w:val="00C32CDD"/>
    <w:rsid w:val="00C3470F"/>
    <w:rsid w:val="00C34977"/>
    <w:rsid w:val="00C40DD5"/>
    <w:rsid w:val="00C42749"/>
    <w:rsid w:val="00C46C88"/>
    <w:rsid w:val="00C62600"/>
    <w:rsid w:val="00C6372D"/>
    <w:rsid w:val="00C728B4"/>
    <w:rsid w:val="00C72CE0"/>
    <w:rsid w:val="00C73F22"/>
    <w:rsid w:val="00C750E9"/>
    <w:rsid w:val="00C84176"/>
    <w:rsid w:val="00C8444F"/>
    <w:rsid w:val="00C86E0A"/>
    <w:rsid w:val="00C91EEC"/>
    <w:rsid w:val="00C921BF"/>
    <w:rsid w:val="00C94D44"/>
    <w:rsid w:val="00C963EF"/>
    <w:rsid w:val="00C97C8F"/>
    <w:rsid w:val="00CB0C95"/>
    <w:rsid w:val="00CB1612"/>
    <w:rsid w:val="00CB23ED"/>
    <w:rsid w:val="00CB7364"/>
    <w:rsid w:val="00CC2E0A"/>
    <w:rsid w:val="00CC469D"/>
    <w:rsid w:val="00CC477F"/>
    <w:rsid w:val="00CC48BD"/>
    <w:rsid w:val="00CD2387"/>
    <w:rsid w:val="00CE219E"/>
    <w:rsid w:val="00CE3A56"/>
    <w:rsid w:val="00CF250A"/>
    <w:rsid w:val="00CF25BB"/>
    <w:rsid w:val="00CF3F29"/>
    <w:rsid w:val="00CF4444"/>
    <w:rsid w:val="00CF5DB8"/>
    <w:rsid w:val="00CF6555"/>
    <w:rsid w:val="00CF6803"/>
    <w:rsid w:val="00CF6A9C"/>
    <w:rsid w:val="00D00C02"/>
    <w:rsid w:val="00D02565"/>
    <w:rsid w:val="00D030BE"/>
    <w:rsid w:val="00D12DB2"/>
    <w:rsid w:val="00D13E57"/>
    <w:rsid w:val="00D218D7"/>
    <w:rsid w:val="00D2672A"/>
    <w:rsid w:val="00D2778E"/>
    <w:rsid w:val="00D3618A"/>
    <w:rsid w:val="00D42A12"/>
    <w:rsid w:val="00D470F4"/>
    <w:rsid w:val="00D510D0"/>
    <w:rsid w:val="00D567E9"/>
    <w:rsid w:val="00D56D01"/>
    <w:rsid w:val="00D61A7D"/>
    <w:rsid w:val="00D74C30"/>
    <w:rsid w:val="00D768C4"/>
    <w:rsid w:val="00D8030E"/>
    <w:rsid w:val="00D80FBA"/>
    <w:rsid w:val="00D859D6"/>
    <w:rsid w:val="00D87AEC"/>
    <w:rsid w:val="00D9174E"/>
    <w:rsid w:val="00D9189A"/>
    <w:rsid w:val="00DA42FB"/>
    <w:rsid w:val="00DB0C2B"/>
    <w:rsid w:val="00DB15C4"/>
    <w:rsid w:val="00DB7D7C"/>
    <w:rsid w:val="00DC2D5E"/>
    <w:rsid w:val="00DC61DB"/>
    <w:rsid w:val="00DD0849"/>
    <w:rsid w:val="00DD2FF6"/>
    <w:rsid w:val="00DD7D1B"/>
    <w:rsid w:val="00DE3844"/>
    <w:rsid w:val="00DE39E6"/>
    <w:rsid w:val="00DF6174"/>
    <w:rsid w:val="00DF71F0"/>
    <w:rsid w:val="00E0290F"/>
    <w:rsid w:val="00E04078"/>
    <w:rsid w:val="00E224B2"/>
    <w:rsid w:val="00E24311"/>
    <w:rsid w:val="00E24E26"/>
    <w:rsid w:val="00E25E10"/>
    <w:rsid w:val="00E30153"/>
    <w:rsid w:val="00E30EFD"/>
    <w:rsid w:val="00E3394B"/>
    <w:rsid w:val="00E34486"/>
    <w:rsid w:val="00E34651"/>
    <w:rsid w:val="00E34E5F"/>
    <w:rsid w:val="00E3549D"/>
    <w:rsid w:val="00E35F4F"/>
    <w:rsid w:val="00E362AD"/>
    <w:rsid w:val="00E36EB1"/>
    <w:rsid w:val="00E3753F"/>
    <w:rsid w:val="00E4316B"/>
    <w:rsid w:val="00E4400B"/>
    <w:rsid w:val="00E448DD"/>
    <w:rsid w:val="00E46AE2"/>
    <w:rsid w:val="00E46E97"/>
    <w:rsid w:val="00E601FE"/>
    <w:rsid w:val="00E6057F"/>
    <w:rsid w:val="00E6143D"/>
    <w:rsid w:val="00E705E1"/>
    <w:rsid w:val="00E716D5"/>
    <w:rsid w:val="00E765AB"/>
    <w:rsid w:val="00E81473"/>
    <w:rsid w:val="00E862DD"/>
    <w:rsid w:val="00E87421"/>
    <w:rsid w:val="00E90ACD"/>
    <w:rsid w:val="00E93BF6"/>
    <w:rsid w:val="00E970D9"/>
    <w:rsid w:val="00E97643"/>
    <w:rsid w:val="00EA4A93"/>
    <w:rsid w:val="00EA7370"/>
    <w:rsid w:val="00EB5ED8"/>
    <w:rsid w:val="00EB6805"/>
    <w:rsid w:val="00EB7C2E"/>
    <w:rsid w:val="00EC5330"/>
    <w:rsid w:val="00ED13AD"/>
    <w:rsid w:val="00ED4A43"/>
    <w:rsid w:val="00EE2972"/>
    <w:rsid w:val="00EE4D5F"/>
    <w:rsid w:val="00EF039F"/>
    <w:rsid w:val="00EF43A9"/>
    <w:rsid w:val="00EF4563"/>
    <w:rsid w:val="00EF4B4E"/>
    <w:rsid w:val="00EF5073"/>
    <w:rsid w:val="00EF582B"/>
    <w:rsid w:val="00EF6ED1"/>
    <w:rsid w:val="00F00341"/>
    <w:rsid w:val="00F044FF"/>
    <w:rsid w:val="00F05618"/>
    <w:rsid w:val="00F2059F"/>
    <w:rsid w:val="00F21339"/>
    <w:rsid w:val="00F224DB"/>
    <w:rsid w:val="00F2397D"/>
    <w:rsid w:val="00F24A13"/>
    <w:rsid w:val="00F32B37"/>
    <w:rsid w:val="00F32BD1"/>
    <w:rsid w:val="00F34655"/>
    <w:rsid w:val="00F402D8"/>
    <w:rsid w:val="00F4063F"/>
    <w:rsid w:val="00F43833"/>
    <w:rsid w:val="00F442C7"/>
    <w:rsid w:val="00F46431"/>
    <w:rsid w:val="00F46862"/>
    <w:rsid w:val="00F51FAC"/>
    <w:rsid w:val="00F70C23"/>
    <w:rsid w:val="00F71DF3"/>
    <w:rsid w:val="00F730C0"/>
    <w:rsid w:val="00F7393F"/>
    <w:rsid w:val="00F81A93"/>
    <w:rsid w:val="00F92063"/>
    <w:rsid w:val="00F92AF9"/>
    <w:rsid w:val="00F96F2A"/>
    <w:rsid w:val="00F970D1"/>
    <w:rsid w:val="00FA0506"/>
    <w:rsid w:val="00FA2325"/>
    <w:rsid w:val="00FA3A13"/>
    <w:rsid w:val="00FA5905"/>
    <w:rsid w:val="00FA5BC9"/>
    <w:rsid w:val="00FB353F"/>
    <w:rsid w:val="00FB6908"/>
    <w:rsid w:val="00FC17CA"/>
    <w:rsid w:val="00FC512F"/>
    <w:rsid w:val="00FC5C90"/>
    <w:rsid w:val="00FD2521"/>
    <w:rsid w:val="00FD774E"/>
    <w:rsid w:val="00FE2B66"/>
    <w:rsid w:val="1B2E4CE5"/>
    <w:rsid w:val="21814FB5"/>
    <w:rsid w:val="2C355316"/>
    <w:rsid w:val="3CD441FC"/>
    <w:rsid w:val="3F0377ED"/>
    <w:rsid w:val="3FC24BC0"/>
    <w:rsid w:val="49956348"/>
    <w:rsid w:val="61E30795"/>
    <w:rsid w:val="71B618D5"/>
    <w:rsid w:val="72251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1F67"/>
  <w15:docId w15:val="{13A1973C-0943-416B-B926-2164B36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2"/>
    </w:rPr>
  </w:style>
  <w:style w:type="paragraph" w:styleId="1">
    <w:name w:val="heading 1"/>
    <w:basedOn w:val="a"/>
    <w:next w:val="a"/>
    <w:link w:val="10"/>
    <w:uiPriority w:val="9"/>
    <w:pPr>
      <w:keepNext/>
      <w:keepLines/>
      <w:spacing w:before="340" w:after="330" w:line="578" w:lineRule="auto"/>
      <w:outlineLvl w:val="0"/>
    </w:pPr>
    <w:rPr>
      <w:b/>
      <w:bCs/>
      <w:kern w:val="44"/>
      <w:sz w:val="44"/>
      <w:szCs w:val="44"/>
    </w:rPr>
  </w:style>
  <w:style w:type="paragraph" w:styleId="3">
    <w:name w:val="heading 3"/>
    <w:basedOn w:val="a"/>
    <w:next w:val="a"/>
    <w:link w:val="30"/>
    <w:uiPriority w:val="99"/>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Document Map"/>
    <w:basedOn w:val="a"/>
    <w:link w:val="a8"/>
    <w:uiPriority w:val="99"/>
    <w:semiHidden/>
    <w:unhideWhenUsed/>
    <w:rPr>
      <w:rFonts w:ascii="宋体" w:eastAsia="宋体"/>
      <w:sz w:val="18"/>
      <w:szCs w:val="18"/>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unhideWhenUsed/>
    <w:rPr>
      <w:sz w:val="21"/>
      <w:szCs w:val="21"/>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customStyle="1" w:styleId="11">
    <w:name w:val="列出段落1"/>
    <w:basedOn w:val="a"/>
    <w:uiPriority w:val="34"/>
    <w:pPr>
      <w:ind w:firstLineChars="200" w:firstLine="420"/>
    </w:pPr>
  </w:style>
  <w:style w:type="paragraph" w:customStyle="1" w:styleId="ParaCharCharCharChar">
    <w:name w:val="默认段落字体 Para Char Char Char Char"/>
    <w:basedOn w:val="a"/>
    <w:rPr>
      <w:rFonts w:ascii="Times New Roman" w:eastAsia="宋体" w:hAnsi="Times New Roman" w:cs="Times New Roman"/>
      <w:szCs w:val="24"/>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a">
    <w:name w:val="批注框文本 字符"/>
    <w:basedOn w:val="a0"/>
    <w:link w:val="a9"/>
    <w:uiPriority w:val="99"/>
    <w:semiHidden/>
    <w:qFormat/>
    <w:rPr>
      <w:sz w:val="18"/>
      <w:szCs w:val="18"/>
    </w:rPr>
  </w:style>
  <w:style w:type="character" w:customStyle="1" w:styleId="30">
    <w:name w:val="标题 3 字符"/>
    <w:basedOn w:val="a0"/>
    <w:link w:val="3"/>
    <w:uiPriority w:val="99"/>
    <w:qFormat/>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Pr>
      <w:b/>
      <w:bCs/>
      <w:kern w:val="44"/>
      <w:sz w:val="44"/>
      <w:szCs w:val="44"/>
    </w:rPr>
  </w:style>
  <w:style w:type="paragraph" w:customStyle="1" w:styleId="af1">
    <w:name w:val="段"/>
    <w:link w:val="Char"/>
    <w:pPr>
      <w:tabs>
        <w:tab w:val="center" w:pos="4201"/>
        <w:tab w:val="right" w:leader="dot" w:pos="9298"/>
      </w:tabs>
      <w:autoSpaceDE w:val="0"/>
      <w:autoSpaceDN w:val="0"/>
      <w:ind w:firstLineChars="200" w:firstLine="420"/>
      <w:jc w:val="both"/>
    </w:pPr>
    <w:rPr>
      <w:rFonts w:ascii="宋体"/>
      <w:sz w:val="21"/>
      <w:szCs w:val="22"/>
    </w:rPr>
  </w:style>
  <w:style w:type="paragraph" w:customStyle="1" w:styleId="2">
    <w:name w:val="列出段落2"/>
    <w:basedOn w:val="a"/>
    <w:uiPriority w:val="99"/>
    <w:pPr>
      <w:ind w:firstLineChars="200" w:firstLine="420"/>
    </w:pPr>
  </w:style>
  <w:style w:type="character" w:customStyle="1" w:styleId="a8">
    <w:name w:val="文档结构图 字符"/>
    <w:basedOn w:val="a0"/>
    <w:link w:val="a7"/>
    <w:uiPriority w:val="99"/>
    <w:semiHidden/>
    <w:qFormat/>
    <w:rPr>
      <w:rFonts w:ascii="宋体" w:eastAsia="宋体"/>
      <w:kern w:val="2"/>
      <w:sz w:val="18"/>
      <w:szCs w:val="18"/>
    </w:rPr>
  </w:style>
  <w:style w:type="character" w:customStyle="1" w:styleId="Char">
    <w:name w:val="段 Char"/>
    <w:link w:val="af1"/>
    <w:qFormat/>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04F2547-255A-46B5-BE00-FCDADEDE78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1075</Words>
  <Characters>6130</Characters>
  <Application>Microsoft Office Word</Application>
  <DocSecurity>0</DocSecurity>
  <Lines>51</Lines>
  <Paragraphs>14</Paragraphs>
  <ScaleCrop>false</ScaleCrop>
  <Company>china</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25</cp:revision>
  <dcterms:created xsi:type="dcterms:W3CDTF">2021-07-20T04:51:00Z</dcterms:created>
  <dcterms:modified xsi:type="dcterms:W3CDTF">2021-08-31T01:38:00Z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